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Style w:val="Fuentedeprrafopredeter"/>
          <w:lang w:val="es-DO" w:eastAsia="es-DO"/>
        </w:rPr>
      </w:pPr>
      <w:r>
        <w:rPr/>
        <w:drawing>
          <wp:anchor behindDoc="0" distT="0" distB="0" distL="0" distR="0" simplePos="0" locked="0" layoutInCell="0" allowOverlap="1" relativeHeight="2">
            <wp:simplePos x="0" y="0"/>
            <wp:positionH relativeFrom="page">
              <wp:posOffset>231140</wp:posOffset>
            </wp:positionH>
            <wp:positionV relativeFrom="paragraph">
              <wp:posOffset>635</wp:posOffset>
            </wp:positionV>
            <wp:extent cx="7052945" cy="912241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7052945" cy="9122410"/>
                    </a:xfrm>
                    <a:prstGeom prst="rect">
                      <a:avLst/>
                    </a:prstGeom>
                  </pic:spPr>
                </pic:pic>
              </a:graphicData>
            </a:graphic>
          </wp:anchor>
        </w:drawing>
      </w:r>
    </w:p>
    <w:p>
      <w:pPr>
        <w:pStyle w:val="Normal1"/>
        <w:jc w:val="center"/>
        <w:rPr/>
      </w:pPr>
      <w:r>
        <w:rPr>
          <w:rStyle w:val="Fuentedeprrafopredeter"/>
          <w:lang w:val="es-DO" w:eastAsia="es-DO"/>
        </w:rPr>
        <w:drawing>
          <wp:inline distT="0" distB="0" distL="0" distR="0">
            <wp:extent cx="1924050" cy="1485900"/>
            <wp:effectExtent l="0" t="0" r="0" b="0"/>
            <wp:docPr id="2" name="Image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A blue and orange logo&#10;&#10;Description automatically generated"/>
                    <pic:cNvPicPr>
                      <a:picLocks noChangeAspect="1" noChangeArrowheads="1"/>
                    </pic:cNvPicPr>
                  </pic:nvPicPr>
                  <pic:blipFill>
                    <a:blip r:embed="rId3"/>
                    <a:stretch>
                      <a:fillRect/>
                    </a:stretch>
                  </pic:blipFill>
                  <pic:spPr bwMode="auto">
                    <a:xfrm>
                      <a:off x="0" y="0"/>
                      <a:ext cx="1924050" cy="1485900"/>
                    </a:xfrm>
                    <a:prstGeom prst="rect">
                      <a:avLst/>
                    </a:prstGeom>
                  </pic:spPr>
                </pic:pic>
              </a:graphicData>
            </a:graphic>
          </wp:inline>
        </w:drawing>
      </w:r>
    </w:p>
    <w:p>
      <w:pPr>
        <w:pStyle w:val="Normal1"/>
        <w:spacing w:before="0" w:after="0"/>
        <w:jc w:val="center"/>
        <w:rPr>
          <w:rFonts w:ascii="Calibri Light" w:hAnsi="Calibri Light" w:cs="Calibri Light"/>
          <w:b/>
          <w:sz w:val="28"/>
          <w:szCs w:val="28"/>
        </w:rPr>
      </w:pPr>
      <w:r>
        <w:rPr>
          <w:rFonts w:cs="Calibri Light" w:ascii="Calibri Light" w:hAnsi="Calibri Light"/>
          <w:b/>
          <w:sz w:val="28"/>
          <w:szCs w:val="28"/>
        </w:rPr>
        <w:t xml:space="preserve">Informe Trimestral de Ejecución Plan Operativo Anual 2024 </w:t>
      </w:r>
    </w:p>
    <w:p>
      <w:pPr>
        <w:pStyle w:val="Normal1"/>
        <w:spacing w:before="0" w:after="0"/>
        <w:jc w:val="center"/>
        <w:rPr>
          <w:rFonts w:ascii="Calibri Light" w:hAnsi="Calibri Light" w:cs="Calibri Light"/>
          <w:sz w:val="28"/>
          <w:szCs w:val="28"/>
        </w:rPr>
      </w:pPr>
      <w:r>
        <w:rPr>
          <w:rFonts w:cs="Calibri Light" w:ascii="Calibri Light" w:hAnsi="Calibri Light"/>
          <w:sz w:val="28"/>
          <w:szCs w:val="28"/>
        </w:rPr>
        <w:t>Julio-septiembre 2024</w:t>
      </w:r>
    </w:p>
    <w:p>
      <w:pPr>
        <w:pStyle w:val="Normal1"/>
        <w:spacing w:before="0" w:after="0"/>
        <w:jc w:val="both"/>
        <w:rPr>
          <w:rFonts w:ascii="Calibri Light" w:hAnsi="Calibri Light" w:cs="Calibri Light"/>
          <w:sz w:val="28"/>
          <w:szCs w:val="28"/>
        </w:rPr>
      </w:pPr>
      <w:r>
        <w:rPr>
          <w:rFonts w:cs="Calibri Light" w:ascii="Calibri Light" w:hAnsi="Calibri Light"/>
          <w:sz w:val="28"/>
          <w:szCs w:val="28"/>
        </w:rPr>
      </w:r>
    </w:p>
    <w:p>
      <w:pPr>
        <w:pStyle w:val="Normal1"/>
        <w:spacing w:before="0" w:after="0"/>
        <w:jc w:val="both"/>
        <w:rPr>
          <w:rFonts w:ascii="Calibri Light" w:hAnsi="Calibri Light" w:cs="Calibri Light"/>
          <w:sz w:val="24"/>
          <w:szCs w:val="24"/>
        </w:rPr>
      </w:pPr>
      <w:r>
        <w:rPr>
          <w:rFonts w:cs="Calibri Light" w:ascii="Calibri Light" w:hAnsi="Calibri Light"/>
          <w:sz w:val="24"/>
          <w:szCs w:val="24"/>
        </w:rPr>
      </w:r>
    </w:p>
    <w:p>
      <w:pPr>
        <w:pStyle w:val="Normal1"/>
        <w:spacing w:before="0" w:after="0"/>
        <w:jc w:val="both"/>
        <w:rPr>
          <w:rFonts w:ascii="Calibri Light" w:hAnsi="Calibri Light" w:cs="Calibri Light"/>
          <w:sz w:val="24"/>
          <w:szCs w:val="24"/>
        </w:rPr>
      </w:pPr>
      <w:r>
        <w:rPr>
          <w:rFonts w:cs="Calibri Light" w:ascii="Calibri Light" w:hAnsi="Calibri Light"/>
          <w:sz w:val="24"/>
          <w:szCs w:val="24"/>
        </w:rPr>
        <w:t xml:space="preserve">La Dirección General de Bienes Nacionales presenta el tercer informe de ejecución del Plan Operativo Anual POA 2024, conforme a los reportes y seguimiento de las actividades operativas de los departamentos, áreas y secciones que integran la estructura organizativa de la institución. </w:t>
      </w:r>
    </w:p>
    <w:p>
      <w:pPr>
        <w:pStyle w:val="Normal1"/>
        <w:tabs>
          <w:tab w:val="clear" w:pos="708"/>
          <w:tab w:val="left" w:pos="1380" w:leader="none"/>
        </w:tabs>
        <w:spacing w:before="0" w:after="0"/>
        <w:jc w:val="both"/>
        <w:rPr>
          <w:rFonts w:ascii="Calibri Light" w:hAnsi="Calibri Light" w:cs="Calibri Light"/>
          <w:sz w:val="24"/>
          <w:szCs w:val="24"/>
        </w:rPr>
      </w:pPr>
      <w:r>
        <w:rPr>
          <w:rFonts w:cs="Calibri Light" w:ascii="Calibri Light" w:hAnsi="Calibri Light"/>
          <w:sz w:val="24"/>
          <w:szCs w:val="24"/>
        </w:rPr>
        <w:tab/>
      </w:r>
    </w:p>
    <w:p>
      <w:pPr>
        <w:pStyle w:val="Normal1"/>
        <w:spacing w:before="0" w:after="0"/>
        <w:jc w:val="both"/>
        <w:rPr/>
      </w:pPr>
      <w:r>
        <w:rPr>
          <w:rStyle w:val="Fuentedeprrafopredeter"/>
          <w:rFonts w:cs="Calibri Light" w:ascii="Calibri Light" w:hAnsi="Calibri Light"/>
          <w:b/>
          <w:sz w:val="24"/>
          <w:szCs w:val="24"/>
        </w:rPr>
        <w:t>Iniciamos con la Dirección de Planificación y Desarrollo</w:t>
      </w:r>
      <w:r>
        <w:rPr>
          <w:rStyle w:val="Fuentedeprrafopredeter"/>
          <w:rFonts w:cs="Calibri Light" w:ascii="Calibri Light" w:hAnsi="Calibri Light"/>
          <w:sz w:val="24"/>
          <w:szCs w:val="24"/>
        </w:rPr>
        <w:t>, quien para este trimestre presenta los siguientes avances:</w:t>
      </w:r>
    </w:p>
    <w:p>
      <w:pPr>
        <w:pStyle w:val="Normal1"/>
        <w:spacing w:before="0" w:after="0"/>
        <w:jc w:val="both"/>
        <w:rPr>
          <w:rFonts w:ascii="Calibri Light" w:hAnsi="Calibri Light" w:cs="Calibri Light"/>
          <w:sz w:val="24"/>
          <w:szCs w:val="24"/>
        </w:rPr>
      </w:pPr>
      <w:r>
        <w:rPr>
          <w:rFonts w:cs="Calibri Light" w:ascii="Calibri Light" w:hAnsi="Calibri Light"/>
          <w:sz w:val="24"/>
          <w:szCs w:val="24"/>
        </w:rPr>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sz w:val="24"/>
          <w:szCs w:val="24"/>
        </w:rPr>
      </w:pPr>
      <w:r>
        <w:rPr>
          <w:rFonts w:eastAsia="Times New Roman" w:cs="Calibri Light" w:ascii="Calibri Light" w:hAnsi="Calibri Light"/>
          <w:sz w:val="24"/>
          <w:szCs w:val="24"/>
        </w:rPr>
        <w:t xml:space="preserve">Remisión a la Contraloría General de la República de los informes NOBACI, correspondientes a los trimestres julio-septiembre 2024. </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sz w:val="24"/>
          <w:szCs w:val="24"/>
        </w:rPr>
      </w:pPr>
      <w:r>
        <w:rPr>
          <w:rFonts w:eastAsia="Times New Roman" w:cs="Calibri Light" w:ascii="Calibri Light" w:hAnsi="Calibri Light"/>
          <w:sz w:val="24"/>
          <w:szCs w:val="24"/>
        </w:rPr>
        <w:t>Elaboración del informe correspondientes al trimestre Julio-septiembre de la ejecución del Plan Operativo 2024.</w:t>
      </w:r>
    </w:p>
    <w:p>
      <w:pPr>
        <w:pStyle w:val="Prrafodelista"/>
        <w:numPr>
          <w:ilvl w:val="0"/>
          <w:numId w:val="1"/>
        </w:numPr>
        <w:suppressAutoHyphens w:val="false"/>
        <w:spacing w:lineRule="auto" w:line="360" w:before="0" w:after="0"/>
        <w:jc w:val="both"/>
        <w:textAlignment w:val="auto"/>
        <w:rPr>
          <w:rFonts w:ascii="Calibri Light" w:hAnsi="Calibri Light" w:eastAsia="Times New Roman" w:cs="Calibri Light"/>
          <w:sz w:val="24"/>
          <w:szCs w:val="24"/>
        </w:rPr>
      </w:pPr>
      <w:r>
        <w:rPr>
          <w:rFonts w:eastAsia="Times New Roman" w:cs="Calibri Light" w:ascii="Calibri Light" w:hAnsi="Calibri Light"/>
          <w:sz w:val="24"/>
          <w:szCs w:val="24"/>
        </w:rPr>
        <w:t>Elaboración de los Informes de Metas Físicas, correspondientes al Trimestres julio-septiembre 2024.</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La Calificación en el SISMAP es de 82.57%</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La Calificación en la NOBACI es de 91.88.</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Se realizó el Anteproyecto de Presupuesto 2025.</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 xml:space="preserve">Se realizó la actualización del mapa de procesos de la institución </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 xml:space="preserve">Se realizó la actualización de los procesos Misionales de la institución. </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Se realizó el anteproyecto de Plan Anual de Compras y Contrataciones PACC 2025.</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 xml:space="preserve">Se Realizó encuesta de satisfacción de los servicios ofrecidos por parte de la Dirección General de Bienes Nacionales. </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Se continúan los trabajos de levantamiento de los procesos del Consejo Estatal del Azúcar.</w:t>
      </w:r>
    </w:p>
    <w:p>
      <w:pPr>
        <w:pStyle w:val="Prrafodelista"/>
        <w:numPr>
          <w:ilvl w:val="0"/>
          <w:numId w:val="1"/>
        </w:numPr>
        <w:suppressAutoHyphens w:val="false"/>
        <w:spacing w:lineRule="auto" w:line="480" w:before="0" w:after="0"/>
        <w:jc w:val="both"/>
        <w:textAlignment w:val="auto"/>
        <w:rPr>
          <w:rFonts w:ascii="Calibri Light" w:hAnsi="Calibri Light" w:eastAsia="Times New Roman" w:cs="Calibri Light"/>
          <w:color w:val="000000"/>
          <w:sz w:val="24"/>
          <w:szCs w:val="24"/>
        </w:rPr>
      </w:pPr>
      <w:r>
        <w:rPr>
          <w:rFonts w:eastAsia="Times New Roman" w:cs="Calibri Light" w:ascii="Calibri Light" w:hAnsi="Calibri Light"/>
          <w:color w:val="000000"/>
          <w:sz w:val="24"/>
          <w:szCs w:val="24"/>
        </w:rPr>
        <w:t xml:space="preserve">Se sigue actualizando las ejecuciones del Plan Operativo Anual POA 2024 en el sistema Krystal. </w:t>
      </w:r>
    </w:p>
    <w:p>
      <w:pPr>
        <w:pStyle w:val="Normal1"/>
        <w:spacing w:lineRule="auto" w:line="480" w:before="0" w:after="0"/>
        <w:jc w:val="both"/>
        <w:rPr/>
      </w:pPr>
      <w:r>
        <w:rPr>
          <w:rStyle w:val="Fuentedeprrafopredeter"/>
          <w:rFonts w:cs="Calibri Light" w:ascii="Calibri Light" w:hAnsi="Calibri Light"/>
          <w:b/>
          <w:sz w:val="24"/>
          <w:szCs w:val="24"/>
        </w:rPr>
        <w:t>En cuanto a la Unidad del Programa de Reforma de la Gestión de las Finanzas Públicas, (PROGEF),</w:t>
      </w:r>
      <w:r>
        <w:rPr>
          <w:rStyle w:val="Fuentedeprrafopredeter"/>
          <w:rFonts w:cs="Calibri Light" w:ascii="Calibri Light" w:hAnsi="Calibri Light"/>
          <w:sz w:val="24"/>
          <w:szCs w:val="24"/>
        </w:rPr>
        <w:t xml:space="preserve"> al cierre de este trimestre contabiliza un total de 3,106 expedientes enviados por la DGCN; 650 expedientes pendientes del proceso de saneamiento para titulación; 100/650 solicitudes de confección de saneamientos realizados; 87 cantidad de inmuebles levantados para saneamientos y 1,879 expedientes enviados a la Dirección General de Contabilidad Gubernamental, (DIGECOG), faltando unos 227 expedientes pendientes. También, unos 1000 expedientes pendientes de confección, organización, impresión e investigación catastral. Pendientes de levantamiento de campo para fines de mosaico unos 563/650. A la fecha los expedientes pendientes de solicitud de estados jurídicos, todos han sido trabajados solo pendientes de firma, confección ante solicitudes de estatus jurídico e investigaciones particulares. </w:t>
      </w:r>
      <w:r>
        <w:rPr>
          <w:rStyle w:val="Fuentedeprrafopredeter"/>
          <w:rFonts w:eastAsia="Times New Roman" w:cs="Calibri Light" w:ascii="Calibri Light" w:hAnsi="Calibri Light"/>
          <w:color w:val="000000"/>
          <w:sz w:val="24"/>
          <w:szCs w:val="24"/>
        </w:rPr>
        <w:t xml:space="preserve"> </w:t>
      </w:r>
    </w:p>
    <w:p>
      <w:pPr>
        <w:pStyle w:val="Normal1"/>
        <w:spacing w:lineRule="auto" w:line="240" w:before="0" w:after="0"/>
        <w:jc w:val="both"/>
        <w:rPr/>
      </w:pPr>
      <w:r>
        <w:rPr>
          <w:rStyle w:val="Fuentedeprrafopredeter"/>
          <w:rFonts w:cs="Calibri Light" w:ascii="Calibri Light" w:hAnsi="Calibri Light"/>
          <w:b/>
          <w:sz w:val="24"/>
          <w:szCs w:val="24"/>
        </w:rPr>
        <w:t>La Dirección de Recursos Humanos</w:t>
      </w:r>
      <w:r>
        <w:rPr>
          <w:rStyle w:val="Fuentedeprrafopredeter"/>
          <w:rFonts w:cs="Calibri Light" w:ascii="Calibri Light" w:hAnsi="Calibri Light"/>
          <w:sz w:val="24"/>
          <w:szCs w:val="24"/>
        </w:rPr>
        <w:t xml:space="preserve">, ha trabajado conforme a los productos a ejecutarse en este período.  A la fecha presenta los siguientes avances: </w:t>
      </w:r>
    </w:p>
    <w:p>
      <w:pPr>
        <w:pStyle w:val="Normal1"/>
        <w:spacing w:lineRule="auto" w:line="240" w:before="0" w:after="0"/>
        <w:jc w:val="both"/>
        <w:rPr/>
      </w:pPr>
      <w:r>
        <w:rPr/>
      </w:r>
    </w:p>
    <w:p>
      <w:pPr>
        <w:pStyle w:val="Prrafodelista"/>
        <w:numPr>
          <w:ilvl w:val="0"/>
          <w:numId w:val="2"/>
        </w:numPr>
        <w:jc w:val="both"/>
        <w:rPr/>
      </w:pPr>
      <w:r>
        <w:rPr>
          <w:rStyle w:val="Fuentedeprrafopredeter"/>
          <w:rFonts w:cs="Calibri Light" w:ascii="Calibri Light" w:hAnsi="Calibri Light"/>
          <w:sz w:val="24"/>
          <w:szCs w:val="24"/>
        </w:rPr>
        <w:t xml:space="preserve">Se han elaborado </w:t>
      </w:r>
      <w:r>
        <w:rPr>
          <w:rStyle w:val="Fuentedeprrafopredeter"/>
          <w:rFonts w:cs="Calibri Light" w:ascii="Calibri Light" w:hAnsi="Calibri Light"/>
          <w:bCs/>
          <w:sz w:val="24"/>
          <w:szCs w:val="24"/>
        </w:rPr>
        <w:t xml:space="preserve">para este trimestre un total de sesenta y nueve 69 nuevas hojas de cálculos, con un monto total ascendente a </w:t>
      </w:r>
      <w:r>
        <w:rPr>
          <w:rStyle w:val="Fuentedeprrafopredeter"/>
          <w:rFonts w:cs="Calibri Light" w:ascii="Calibri Light" w:hAnsi="Calibri Light"/>
          <w:b/>
          <w:sz w:val="24"/>
          <w:szCs w:val="24"/>
        </w:rPr>
        <w:t xml:space="preserve">RD$ 3, 437,768.43 </w:t>
      </w:r>
      <w:r>
        <w:rPr>
          <w:rStyle w:val="Fuentedeprrafopredeter"/>
          <w:rFonts w:cs="Calibri Light" w:ascii="Calibri Light" w:hAnsi="Calibri Light"/>
          <w:sz w:val="24"/>
          <w:szCs w:val="24"/>
        </w:rPr>
        <w:t>por concepto de vacaciones,</w:t>
      </w:r>
      <w:r>
        <w:rPr>
          <w:rStyle w:val="Fuentedeprrafopredeter"/>
          <w:rFonts w:cs="Calibri Light" w:ascii="Calibri Light" w:hAnsi="Calibri Light"/>
          <w:bCs/>
          <w:sz w:val="24"/>
          <w:szCs w:val="24"/>
        </w:rPr>
        <w:t xml:space="preserve"> las cuales fueron remitidas al Ministerio de Administración Pública (MAP).</w:t>
      </w:r>
      <w:r>
        <w:rPr>
          <w:rStyle w:val="Fuentedeprrafopredeter"/>
          <w:rFonts w:cs="Calibri Light" w:ascii="Calibri Light" w:hAnsi="Calibri Light"/>
          <w:b/>
          <w:sz w:val="24"/>
          <w:szCs w:val="24"/>
        </w:rPr>
        <w:t xml:space="preserve"> </w:t>
      </w:r>
    </w:p>
    <w:p>
      <w:pPr>
        <w:pStyle w:val="Prrafodelista"/>
        <w:numPr>
          <w:ilvl w:val="0"/>
          <w:numId w:val="2"/>
        </w:numPr>
        <w:jc w:val="both"/>
        <w:rPr/>
      </w:pPr>
      <w:r>
        <w:rPr>
          <w:rStyle w:val="Fuentedeprrafopredeter"/>
          <w:rFonts w:cs="Calibri Light" w:ascii="Calibri Light" w:hAnsi="Calibri Light"/>
          <w:bCs/>
          <w:sz w:val="24"/>
          <w:szCs w:val="24"/>
        </w:rPr>
        <w:t xml:space="preserve">Estamos en proceso de elaboración de ocho (8) hojas de cálculos, con un monto total por concepto de pago de vacaciones ascendente a RD$ 238,178.62 y RD$ 66,844.06 por concepto de pago de indemnización, para un total de    </w:t>
      </w:r>
      <w:r>
        <w:rPr>
          <w:rStyle w:val="Fuentedeprrafopredeter"/>
          <w:rFonts w:cs="Calibri Light" w:ascii="Calibri Light" w:hAnsi="Calibri Light"/>
          <w:b/>
          <w:sz w:val="24"/>
          <w:szCs w:val="24"/>
        </w:rPr>
        <w:t xml:space="preserve">RD$ 305,022.68, </w:t>
      </w:r>
      <w:r>
        <w:rPr>
          <w:rStyle w:val="Fuentedeprrafopredeter"/>
          <w:rFonts w:cs="Calibri Light" w:ascii="Calibri Light" w:hAnsi="Calibri Light"/>
          <w:bCs/>
          <w:sz w:val="24"/>
          <w:szCs w:val="24"/>
        </w:rPr>
        <w:t>la cual fue remitida al Ministerio de Administración de Pública (MAP).</w:t>
      </w:r>
    </w:p>
    <w:p>
      <w:pPr>
        <w:pStyle w:val="Normal1"/>
        <w:jc w:val="both"/>
        <w:rPr/>
      </w:pPr>
      <w:r>
        <w:rPr/>
      </w:r>
    </w:p>
    <w:p>
      <w:pPr>
        <w:pStyle w:val="Normal1"/>
        <w:jc w:val="both"/>
        <w:rPr>
          <w:rFonts w:ascii="Calibri Light" w:hAnsi="Calibri Light" w:cs="Calibri Light"/>
          <w:b/>
          <w:bCs/>
          <w:sz w:val="24"/>
          <w:szCs w:val="24"/>
        </w:rPr>
      </w:pPr>
      <w:r>
        <w:rPr>
          <w:rFonts w:cs="Calibri Light" w:ascii="Calibri Light" w:hAnsi="Calibri Light"/>
          <w:b/>
          <w:bCs/>
          <w:sz w:val="24"/>
          <w:szCs w:val="24"/>
        </w:rPr>
        <w:t>A continuación, detallaremos las capacitaciones que se están impartiendo en nuestra Institución:</w:t>
      </w:r>
    </w:p>
    <w:p>
      <w:pPr>
        <w:pStyle w:val="Normal1"/>
        <w:jc w:val="both"/>
        <w:rPr>
          <w:rFonts w:ascii="Calibri Light" w:hAnsi="Calibri Light" w:cs="Calibri Light"/>
          <w:sz w:val="24"/>
          <w:szCs w:val="24"/>
        </w:rPr>
      </w:pPr>
      <w:r>
        <w:rPr>
          <w:rFonts w:cs="Calibri Light" w:ascii="Calibri Light" w:hAnsi="Calibri Light"/>
          <w:sz w:val="24"/>
          <w:szCs w:val="24"/>
        </w:rPr>
        <w:t>Continúa el curso de soldadura Básica, impartido por el INFOTEP, a los colaboradores e hijos de cañeros, en el Ingenio Porvenir.</w:t>
      </w:r>
    </w:p>
    <w:p>
      <w:pPr>
        <w:pStyle w:val="Normal1"/>
        <w:jc w:val="both"/>
        <w:rPr>
          <w:rFonts w:ascii="Calibri Light" w:hAnsi="Calibri Light" w:cs="Calibri Light"/>
          <w:sz w:val="24"/>
          <w:szCs w:val="24"/>
        </w:rPr>
      </w:pPr>
      <w:r>
        <w:rPr>
          <w:rFonts w:cs="Calibri Light" w:ascii="Calibri Light" w:hAnsi="Calibri Light"/>
          <w:sz w:val="24"/>
          <w:szCs w:val="24"/>
        </w:rPr>
        <w:t>Continúa el Diplomado de Gestión Pública, impartido por el INAP a 5 directivos.</w:t>
      </w:r>
    </w:p>
    <w:p>
      <w:pPr>
        <w:pStyle w:val="Normal1"/>
        <w:jc w:val="both"/>
        <w:rPr>
          <w:rFonts w:ascii="Calibri Light" w:hAnsi="Calibri Light" w:cs="Calibri Light"/>
          <w:sz w:val="24"/>
          <w:szCs w:val="24"/>
        </w:rPr>
      </w:pPr>
      <w:r>
        <w:rPr>
          <w:rFonts w:cs="Calibri Light" w:ascii="Calibri Light" w:hAnsi="Calibri Light"/>
          <w:sz w:val="24"/>
          <w:szCs w:val="24"/>
        </w:rPr>
        <w:t>Continúa el curso de Tasación, impartido por el Ing. Miguel Santana, a 19 colaboradores del Departamento de Catastro.</w:t>
      </w:r>
    </w:p>
    <w:p>
      <w:pPr>
        <w:pStyle w:val="Normal1"/>
        <w:jc w:val="both"/>
        <w:rPr>
          <w:rFonts w:ascii="Calibri Light" w:hAnsi="Calibri Light" w:cs="Calibri Light"/>
          <w:sz w:val="24"/>
          <w:szCs w:val="24"/>
        </w:rPr>
      </w:pPr>
      <w:r>
        <w:rPr>
          <w:rFonts w:cs="Calibri Light" w:ascii="Calibri Light" w:hAnsi="Calibri Light"/>
          <w:sz w:val="24"/>
          <w:szCs w:val="24"/>
        </w:rPr>
        <w:t>Continúa la Especialización Técnica en Presupuesto Público, impartido por el CAPGEFI, a un colaborador de la Dirección Financiera.</w:t>
      </w:r>
    </w:p>
    <w:p>
      <w:pPr>
        <w:pStyle w:val="Normal1"/>
        <w:jc w:val="both"/>
        <w:rPr>
          <w:rFonts w:ascii="Calibri Light" w:hAnsi="Calibri Light" w:cs="Calibri Light"/>
          <w:sz w:val="24"/>
          <w:szCs w:val="24"/>
        </w:rPr>
      </w:pPr>
      <w:r>
        <w:rPr>
          <w:rFonts w:cs="Calibri Light" w:ascii="Calibri Light" w:hAnsi="Calibri Light"/>
          <w:sz w:val="24"/>
          <w:szCs w:val="24"/>
        </w:rPr>
        <w:t>Concluyó, el curso sobre Lactancia Materna, impartido por el ministerio de Salud Pública, a 16 colaboradores de esta Institución.</w:t>
      </w:r>
    </w:p>
    <w:p>
      <w:pPr>
        <w:pStyle w:val="Normal1"/>
        <w:jc w:val="both"/>
        <w:rPr>
          <w:rFonts w:ascii="Calibri Light" w:hAnsi="Calibri Light" w:cs="Calibri Light"/>
          <w:sz w:val="24"/>
          <w:szCs w:val="24"/>
        </w:rPr>
      </w:pPr>
      <w:r>
        <w:rPr>
          <w:rFonts w:cs="Calibri Light" w:ascii="Calibri Light" w:hAnsi="Calibri Light"/>
          <w:sz w:val="24"/>
          <w:szCs w:val="24"/>
        </w:rPr>
        <w:t>Concluyó, el Curso Fundamentos de Compras y Contrataciones, impartido por el CAPGEFI, a una coladora de la Dirección Administrativa.</w:t>
      </w:r>
    </w:p>
    <w:p>
      <w:pPr>
        <w:pStyle w:val="Normal1"/>
        <w:jc w:val="both"/>
        <w:rPr>
          <w:rFonts w:ascii="Calibri Light" w:hAnsi="Calibri Light" w:cs="Calibri Light"/>
          <w:sz w:val="24"/>
          <w:szCs w:val="24"/>
        </w:rPr>
      </w:pPr>
      <w:r>
        <w:rPr>
          <w:rFonts w:cs="Calibri Light" w:ascii="Calibri Light" w:hAnsi="Calibri Light"/>
          <w:sz w:val="24"/>
          <w:szCs w:val="24"/>
        </w:rPr>
        <w:t>Concluyó, el curso Sistema Electrónico de Compras, impartido por el INFOTEP, a 34 colaboradores de la Institución.</w:t>
      </w:r>
    </w:p>
    <w:p>
      <w:pPr>
        <w:pStyle w:val="Normal1"/>
        <w:jc w:val="both"/>
        <w:rPr>
          <w:rFonts w:ascii="Calibri Light" w:hAnsi="Calibri Light" w:cs="Calibri Light"/>
          <w:sz w:val="24"/>
          <w:szCs w:val="24"/>
        </w:rPr>
      </w:pPr>
      <w:r>
        <w:rPr>
          <w:rFonts w:cs="Calibri Light" w:ascii="Calibri Light" w:hAnsi="Calibri Light"/>
          <w:sz w:val="24"/>
          <w:szCs w:val="24"/>
        </w:rPr>
        <w:t>Concluyó el Diplomado de Planificación Estratégica en la Gestión Pública, impartido por el CAPGEFI, a tres colaboradores, dos de la Dirección de Planificación y uno Recursos Humanos.</w:t>
      </w:r>
    </w:p>
    <w:p>
      <w:pPr>
        <w:pStyle w:val="Normal1"/>
        <w:jc w:val="both"/>
        <w:rPr>
          <w:rFonts w:ascii="Calibri Light" w:hAnsi="Calibri Light" w:cs="Calibri Light"/>
          <w:sz w:val="24"/>
          <w:szCs w:val="24"/>
        </w:rPr>
      </w:pPr>
      <w:r>
        <w:rPr>
          <w:rFonts w:cs="Calibri Light" w:ascii="Calibri Light" w:hAnsi="Calibri Light"/>
          <w:sz w:val="24"/>
          <w:szCs w:val="24"/>
        </w:rPr>
        <w:t xml:space="preserve">La sección de capacitación se trasladó a las instalaciones del Ingenio Porvenir, a los fines de realizar la detección de necesidades de capacitación para los colaboradores del ingenio, la misma arrojó los siguientes cursos y talleres que el personal requiere y los cuales detallamos a continuación: </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Electricidad Industrial.</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Soldadura Metálica.</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Mecánica Diésel y Automotriz.</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 xml:space="preserve">Taller de Torno y Presas.  </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Manejo de Conflictos.</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Manejo Efectivo del Tiempo y Productividad Laboral.</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Inteligencia Emocional.</w:t>
      </w:r>
    </w:p>
    <w:p>
      <w:pPr>
        <w:pStyle w:val="Prrafodelista"/>
        <w:numPr>
          <w:ilvl w:val="0"/>
          <w:numId w:val="3"/>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Taller de Comunicación Asertiva.</w:t>
      </w:r>
    </w:p>
    <w:p>
      <w:pPr>
        <w:pStyle w:val="Normal1"/>
        <w:jc w:val="both"/>
        <w:rPr>
          <w:rFonts w:ascii="Calibri Light" w:hAnsi="Calibri Light" w:cs="Calibri Light"/>
          <w:b/>
          <w:sz w:val="24"/>
          <w:szCs w:val="24"/>
        </w:rPr>
      </w:pPr>
      <w:r>
        <w:rPr>
          <w:rFonts w:cs="Calibri Light" w:ascii="Calibri Light" w:hAnsi="Calibri Light"/>
          <w:b/>
          <w:sz w:val="24"/>
          <w:szCs w:val="24"/>
        </w:rPr>
      </w:r>
    </w:p>
    <w:p>
      <w:pPr>
        <w:pStyle w:val="Normal1"/>
        <w:jc w:val="both"/>
        <w:rPr>
          <w:rFonts w:ascii="Calibri Light" w:hAnsi="Calibri Light" w:cs="Calibri Light"/>
          <w:b/>
          <w:sz w:val="24"/>
          <w:szCs w:val="24"/>
        </w:rPr>
      </w:pPr>
      <w:r>
        <w:rPr>
          <w:rFonts w:cs="Calibri Light" w:ascii="Calibri Light" w:hAnsi="Calibri Light"/>
          <w:b/>
          <w:sz w:val="24"/>
          <w:szCs w:val="24"/>
        </w:rPr>
      </w:r>
    </w:p>
    <w:p>
      <w:pPr>
        <w:pStyle w:val="Normal1"/>
        <w:jc w:val="both"/>
        <w:rPr>
          <w:rFonts w:ascii="Calibri Light" w:hAnsi="Calibri Light" w:cs="Calibri Light"/>
          <w:b/>
          <w:sz w:val="24"/>
          <w:szCs w:val="24"/>
        </w:rPr>
      </w:pPr>
      <w:r>
        <w:rPr>
          <w:rFonts w:cs="Calibri Light" w:ascii="Calibri Light" w:hAnsi="Calibri Light"/>
          <w:b/>
          <w:sz w:val="24"/>
          <w:szCs w:val="24"/>
        </w:rPr>
        <w:t>En el Programa de Adiestramiento en Administración, Preservación y Reparación de Bienes: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reparación de cinco escritorios.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reparación de una mesa de computadora, y dos escritorios.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construcción de un estante para exhibir libros.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Construcción y entrega de un estante para exhibir libros.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Reparación de dos sillas.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reparación de una mesa de conferencia.</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construcción de un nuevo estante exhibidor de libros.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Reparación de una mesa redonda.</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 xml:space="preserve">Reparación de un Pódium en la Biblioteca Nacional. </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Construcción de una pared de división en la quinta planta.</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 xml:space="preserve">Elaboración de un Rotafolio. </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Reparación de un escritorio ejecutivo en caoba.</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En proceso de reconstrucción de una puerta en play wood.</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Terminación de dos escritorios.</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Terminación de una credenza.</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Terminación de porta traje.</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Terminación de una mesa pequeña tipo repisa.</w:t>
      </w:r>
    </w:p>
    <w:p>
      <w:pPr>
        <w:pStyle w:val="Prrafodelista"/>
        <w:numPr>
          <w:ilvl w:val="0"/>
          <w:numId w:val="4"/>
        </w:numPr>
        <w:suppressAutoHyphens w:val="false"/>
        <w:spacing w:lineRule="auto" w:line="276" w:before="0" w:after="200"/>
        <w:jc w:val="both"/>
        <w:textAlignment w:val="auto"/>
        <w:rPr>
          <w:rFonts w:ascii="Calibri Light" w:hAnsi="Calibri Light" w:cs="Calibri Light"/>
          <w:sz w:val="24"/>
          <w:szCs w:val="24"/>
        </w:rPr>
      </w:pPr>
      <w:r>
        <w:rPr>
          <w:rFonts w:cs="Calibri Light" w:ascii="Calibri Light" w:hAnsi="Calibri Light"/>
          <w:sz w:val="24"/>
          <w:szCs w:val="24"/>
        </w:rPr>
        <w:t>Terminación de un sillón ejecutivo de la Oficina Provincial.</w:t>
      </w:r>
    </w:p>
    <w:p>
      <w:pPr>
        <w:pStyle w:val="Normal1"/>
        <w:jc w:val="both"/>
        <w:rPr/>
      </w:pPr>
      <w:r>
        <w:rPr>
          <w:rStyle w:val="Fuentedeprrafopredeter"/>
          <w:rFonts w:cs="Calibri Light" w:ascii="Calibri Light" w:hAnsi="Calibri Light"/>
          <w:b/>
          <w:sz w:val="24"/>
          <w:szCs w:val="24"/>
        </w:rPr>
        <w:t xml:space="preserve">Promoción e Implementación de Equipos de Deporte, </w:t>
      </w:r>
      <w:r>
        <w:rPr>
          <w:rStyle w:val="Fuentedeprrafopredeter"/>
          <w:rFonts w:cs="Calibri Light" w:ascii="Calibri Light" w:hAnsi="Calibri Light"/>
          <w:sz w:val="24"/>
          <w:szCs w:val="24"/>
        </w:rPr>
        <w:t xml:space="preserve">nuestro equipo Institucional de softball continua con sus prácticas en las instalaciones del Play de la UASD, los martes en horario de 4:00 P.M. a 7:00 P.M. </w:t>
      </w:r>
    </w:p>
    <w:p>
      <w:pPr>
        <w:pStyle w:val="Normal1"/>
        <w:jc w:val="both"/>
        <w:rPr>
          <w:rFonts w:ascii="Calibri Light" w:hAnsi="Calibri Light" w:cs="Calibri Light"/>
          <w:sz w:val="24"/>
          <w:szCs w:val="24"/>
        </w:rPr>
      </w:pPr>
      <w:r>
        <w:rPr>
          <w:rFonts w:cs="Calibri Light" w:ascii="Calibri Light" w:hAnsi="Calibri Light"/>
          <w:sz w:val="24"/>
          <w:szCs w:val="24"/>
        </w:rPr>
        <w:t>Actualmente, el equipo de baloncesto se encuentra realizando sus prácticas en la cancha abierta #9 del Centro Olímpico Juan Pablo Duarte, los días miércoles en horario de 4:30 p.m. a 8:00 p.m.</w:t>
      </w:r>
    </w:p>
    <w:p>
      <w:pPr>
        <w:pStyle w:val="Normal1"/>
        <w:jc w:val="both"/>
        <w:rPr>
          <w:rFonts w:ascii="Calibri Light" w:hAnsi="Calibri Light" w:cs="Calibri Light"/>
          <w:sz w:val="24"/>
          <w:szCs w:val="24"/>
        </w:rPr>
      </w:pPr>
      <w:r>
        <w:rPr>
          <w:rFonts w:cs="Calibri Light" w:ascii="Calibri Light" w:hAnsi="Calibri Light"/>
          <w:sz w:val="24"/>
          <w:szCs w:val="24"/>
        </w:rPr>
        <w:t>Las prácticas de los sábados fueron suspendidas por 90 días, debido al remozamiento y readecuación del polideportivo Tony Barreiro de la Universidad Autónoma de Santo Domingo (UASD).</w:t>
      </w:r>
    </w:p>
    <w:p>
      <w:pPr>
        <w:pStyle w:val="Normal1"/>
        <w:jc w:val="both"/>
        <w:rPr>
          <w:rFonts w:ascii="Calibri Light" w:hAnsi="Calibri Light" w:cs="Calibri Light"/>
          <w:sz w:val="24"/>
          <w:szCs w:val="24"/>
        </w:rPr>
      </w:pPr>
      <w:r>
        <w:rPr>
          <w:rFonts w:cs="Calibri Light" w:ascii="Calibri Light" w:hAnsi="Calibri Light"/>
          <w:sz w:val="24"/>
          <w:szCs w:val="24"/>
        </w:rPr>
        <w:t>El jueves 26 de septiembre, el equipo de baloncesto sostuvo un juego amistoso contra el equipo del Ministerio de Obras Públicas, en el Club de Obras Públicas a las 6:00 p.m., en el cual nuestra institución resulto ganadora con un marcador de 79 sobre 76.</w:t>
      </w:r>
    </w:p>
    <w:p>
      <w:pPr>
        <w:pStyle w:val="Normal1"/>
        <w:jc w:val="both"/>
        <w:rPr>
          <w:rFonts w:ascii="Calibri Light" w:hAnsi="Calibri Light" w:cs="Calibri Light"/>
          <w:sz w:val="24"/>
          <w:szCs w:val="24"/>
        </w:rPr>
      </w:pPr>
      <w:r>
        <w:rPr>
          <w:rFonts w:cs="Calibri Light" w:ascii="Calibri Light" w:hAnsi="Calibri Light"/>
          <w:sz w:val="24"/>
          <w:szCs w:val="24"/>
        </w:rPr>
        <w:t xml:space="preserve">El 22 de agosto, recibimos los uniformes de los equipos deportivos de nuestra institución, y se han elaborado los estatutos de los mismos, estos pendientes de firma. </w:t>
      </w:r>
    </w:p>
    <w:p>
      <w:pPr>
        <w:pStyle w:val="Normal1"/>
        <w:jc w:val="both"/>
        <w:rPr/>
      </w:pPr>
      <w:r>
        <w:rPr>
          <w:rStyle w:val="Fuentedeprrafopredeter"/>
          <w:rFonts w:cs="Calibri Light" w:ascii="Calibri Light" w:hAnsi="Calibri Light"/>
          <w:sz w:val="24"/>
          <w:szCs w:val="24"/>
        </w:rPr>
        <w:t>Se continúa con el Programa de Evaluación y Profilaxis</w:t>
      </w:r>
      <w:r>
        <w:rPr>
          <w:rStyle w:val="Fuentedeprrafopredeter"/>
          <w:rFonts w:cs="Calibri Light" w:ascii="Calibri Light" w:hAnsi="Calibri Light"/>
          <w:b/>
          <w:sz w:val="24"/>
          <w:szCs w:val="24"/>
        </w:rPr>
        <w:t>,</w:t>
      </w:r>
      <w:r>
        <w:rPr>
          <w:rStyle w:val="Fuentedeprrafopredeter"/>
          <w:rFonts w:cs="Calibri Light" w:ascii="Calibri Light" w:hAnsi="Calibri Light"/>
          <w:sz w:val="24"/>
          <w:szCs w:val="24"/>
        </w:rPr>
        <w:t xml:space="preserve"> realizando consultas odontológicas, según los requerimientos de los colaboradores. Hasta la fecha se han realizado 56 consultas. </w:t>
      </w:r>
      <w:bookmarkStart w:id="0" w:name="_Hlk131586946"/>
      <w:r>
        <w:rPr>
          <w:rStyle w:val="Fuentedeprrafopredeter"/>
          <w:rFonts w:cs="Calibri Light" w:ascii="Calibri Light" w:hAnsi="Calibri Light"/>
          <w:sz w:val="24"/>
          <w:szCs w:val="24"/>
        </w:rPr>
        <w:t>Con relación a los u</w:t>
      </w:r>
      <w:r>
        <w:rPr>
          <w:rStyle w:val="Fuentedeprrafopredeter"/>
          <w:rFonts w:cs="Calibri Light" w:ascii="Calibri Light" w:hAnsi="Calibri Light"/>
          <w:b/>
          <w:sz w:val="24"/>
          <w:szCs w:val="24"/>
        </w:rPr>
        <w:t xml:space="preserve">niformes para colaboradores de nuestra Institución, </w:t>
      </w:r>
      <w:bookmarkEnd w:id="0"/>
      <w:r>
        <w:rPr>
          <w:rStyle w:val="Fuentedeprrafopredeter"/>
          <w:rFonts w:cs="Calibri Light" w:ascii="Calibri Light" w:hAnsi="Calibri Light"/>
          <w:sz w:val="24"/>
          <w:szCs w:val="24"/>
        </w:rPr>
        <w:t xml:space="preserve">Se colocó una meta de 800 uniformes para todo el personal, para lo cual contamos con un presupuesto de </w:t>
      </w:r>
      <w:r>
        <w:rPr>
          <w:rStyle w:val="Fuentedeprrafopredeter"/>
          <w:rFonts w:cs="Calibri Light" w:ascii="Calibri Light" w:hAnsi="Calibri Light"/>
          <w:b/>
          <w:sz w:val="24"/>
          <w:szCs w:val="24"/>
        </w:rPr>
        <w:t>RD$ 2,250.000.00</w:t>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pPr>
      <w:r>
        <w:rPr>
          <w:rStyle w:val="Fuentedeprrafopredeter"/>
          <w:rFonts w:cs="Calibri Light" w:ascii="Calibri Light" w:hAnsi="Calibri Light"/>
          <w:b/>
          <w:sz w:val="24"/>
          <w:szCs w:val="24"/>
        </w:rPr>
        <w:t>La Dirección Técnica y sus Dependencias</w:t>
      </w:r>
      <w:r>
        <w:rPr>
          <w:rStyle w:val="Fuentedeprrafopredeter"/>
          <w:rFonts w:cs="Calibri Light" w:ascii="Calibri Light" w:hAnsi="Calibri Light"/>
          <w:sz w:val="24"/>
          <w:szCs w:val="24"/>
        </w:rPr>
        <w:t xml:space="preserve">, el desarrollo de los productos técnicos para este trimestre han mostrado el siguiente avance: </w:t>
      </w:r>
    </w:p>
    <w:tbl>
      <w:tblPr>
        <w:tblW w:w="10491" w:type="dxa"/>
        <w:jc w:val="left"/>
        <w:tblInd w:w="-1013" w:type="dxa"/>
        <w:tblLayout w:type="fixed"/>
        <w:tblCellMar>
          <w:top w:w="0" w:type="dxa"/>
          <w:left w:w="70" w:type="dxa"/>
          <w:bottom w:w="0" w:type="dxa"/>
          <w:right w:w="70" w:type="dxa"/>
        </w:tblCellMar>
      </w:tblPr>
      <w:tblGrid>
        <w:gridCol w:w="262"/>
        <w:gridCol w:w="8023"/>
        <w:gridCol w:w="2206"/>
      </w:tblGrid>
      <w:tr>
        <w:trPr>
          <w:trHeight w:val="499" w:hRule="atLeast"/>
        </w:trPr>
        <w:tc>
          <w:tcPr>
            <w:tcW w:w="262" w:type="dxa"/>
            <w:tcBorders>
              <w:top w:val="single" w:sz="8" w:space="0" w:color="000000"/>
              <w:left w:val="single" w:sz="8" w:space="0" w:color="000000"/>
              <w:bottom w:val="single" w:sz="4" w:space="0" w:color="000000"/>
              <w:right w:val="single" w:sz="4" w:space="0" w:color="000000"/>
            </w:tcBorders>
            <w:shd w:fill="ED7D31" w:val="clear"/>
            <w:vAlign w:val="bottom"/>
          </w:tcPr>
          <w:p>
            <w:pPr>
              <w:pStyle w:val="Normal1"/>
              <w:suppressAutoHyphens w:val="false"/>
              <w:spacing w:lineRule="auto" w:line="240" w:before="0" w:after="0"/>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 </w:t>
            </w:r>
          </w:p>
        </w:tc>
        <w:tc>
          <w:tcPr>
            <w:tcW w:w="10229" w:type="dxa"/>
            <w:gridSpan w:val="2"/>
            <w:tcBorders>
              <w:top w:val="single" w:sz="8" w:space="0" w:color="000000"/>
              <w:bottom w:val="single" w:sz="4" w:space="0" w:color="000000"/>
              <w:right w:val="single" w:sz="8" w:space="0" w:color="000000"/>
            </w:tcBorders>
            <w:shd w:fill="ED7D31" w:val="clear"/>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Dirección Técnica</w:t>
            </w:r>
          </w:p>
        </w:tc>
      </w:tr>
      <w:tr>
        <w:trPr>
          <w:trHeight w:val="600" w:hRule="atLeast"/>
        </w:trPr>
        <w:tc>
          <w:tcPr>
            <w:tcW w:w="262" w:type="dxa"/>
            <w:tcBorders>
              <w:left w:val="single" w:sz="8" w:space="0" w:color="000000"/>
              <w:bottom w:val="single" w:sz="8" w:space="0" w:color="000000"/>
              <w:right w:val="single" w:sz="4" w:space="0" w:color="000000"/>
            </w:tcBorders>
            <w:vAlign w:val="bottom"/>
          </w:tcPr>
          <w:p>
            <w:pPr>
              <w:pStyle w:val="Normal1"/>
              <w:suppressAutoHyphens w:val="false"/>
              <w:spacing w:lineRule="auto" w:line="240" w:before="0" w:after="0"/>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 </w:t>
            </w:r>
          </w:p>
        </w:tc>
        <w:tc>
          <w:tcPr>
            <w:tcW w:w="8023" w:type="dxa"/>
            <w:tcBorders>
              <w:bottom w:val="single" w:sz="8" w:space="0" w:color="000000"/>
              <w:right w:val="single" w:sz="4" w:space="0" w:color="000000"/>
            </w:tcBorders>
            <w:shd w:fill="FFFFFF" w:val="clear"/>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Actividad</w:t>
            </w:r>
          </w:p>
        </w:tc>
        <w:tc>
          <w:tcPr>
            <w:tcW w:w="2206" w:type="dxa"/>
            <w:tcBorders>
              <w:bottom w:val="single" w:sz="8" w:space="0" w:color="000000"/>
              <w:right w:val="single" w:sz="8" w:space="0" w:color="000000"/>
            </w:tcBorders>
            <w:shd w:fill="FFFFFF" w:val="clear"/>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Trabajos Realizados</w:t>
            </w:r>
          </w:p>
        </w:tc>
      </w:tr>
      <w:tr>
        <w:trPr>
          <w:trHeight w:val="810"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1</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 xml:space="preserve">Informe de Determinaciones Áreas (Departamento de Ingeniería)  </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16</w:t>
            </w:r>
          </w:p>
        </w:tc>
      </w:tr>
      <w:tr>
        <w:trPr>
          <w:trHeight w:val="499"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2</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 xml:space="preserve">Informe de Determinaciones Áreas de (Departamento de Catastro) </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87</w:t>
            </w:r>
          </w:p>
        </w:tc>
      </w:tr>
      <w:tr>
        <w:trPr>
          <w:trHeight w:val="750"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3</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Investigaciones sobre ocupaciones de propiedades Estatales o Privadas</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108</w:t>
            </w:r>
          </w:p>
        </w:tc>
      </w:tr>
      <w:tr>
        <w:trPr>
          <w:trHeight w:val="390"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4</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 xml:space="preserve">Informe de Inspección Solución de Conflictos (División de Inspección) </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29</w:t>
            </w:r>
          </w:p>
        </w:tc>
      </w:tr>
      <w:tr>
        <w:trPr>
          <w:trHeight w:val="375"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5</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 xml:space="preserve">Evaluaciones Socio-Económicas, mediante Censos (Departamento Sociales e Investigaciones </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3</w:t>
            </w:r>
          </w:p>
        </w:tc>
      </w:tr>
      <w:tr>
        <w:trPr>
          <w:trHeight w:val="765"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6</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Informes de Investigaciones Técnico-Legales de Inmuebles del Estado (Departamento de Recuperación de Bienes)</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180</w:t>
            </w:r>
          </w:p>
        </w:tc>
      </w:tr>
      <w:tr>
        <w:trPr>
          <w:trHeight w:val="750"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7</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Dibujos de Planos para Determinación de Áreas (Mensura Catastral)</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151</w:t>
            </w:r>
          </w:p>
        </w:tc>
      </w:tr>
      <w:tr>
        <w:trPr>
          <w:trHeight w:val="750" w:hRule="atLeast"/>
        </w:trPr>
        <w:tc>
          <w:tcPr>
            <w:tcW w:w="262" w:type="dxa"/>
            <w:tcBorders>
              <w:left w:val="single" w:sz="4" w:space="0" w:color="000000"/>
              <w:bottom w:val="single" w:sz="4" w:space="0" w:color="000000"/>
              <w:right w:val="single" w:sz="4" w:space="0" w:color="000000"/>
            </w:tcBorders>
            <w:vAlign w:val="bottom"/>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8</w:t>
            </w:r>
          </w:p>
        </w:tc>
        <w:tc>
          <w:tcPr>
            <w:tcW w:w="8023" w:type="dxa"/>
            <w:tcBorders>
              <w:bottom w:val="single" w:sz="4" w:space="0" w:color="000000"/>
              <w:right w:val="single" w:sz="4" w:space="0" w:color="000000"/>
            </w:tcBorders>
            <w:shd w:fill="FFFFFF" w:val="clear"/>
            <w:vAlign w:val="center"/>
          </w:tcPr>
          <w:p>
            <w:pPr>
              <w:pStyle w:val="Normal1"/>
              <w:suppressAutoHyphens w:val="false"/>
              <w:spacing w:lineRule="auto" w:line="240" w:before="0" w:after="0"/>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Dibujo de Planos para edificaciones Habitacionales y Locales Comerciales, propiedad del Estado Dominicano</w:t>
            </w:r>
          </w:p>
        </w:tc>
        <w:tc>
          <w:tcPr>
            <w:tcW w:w="2206" w:type="dxa"/>
            <w:tcBorders>
              <w:bottom w:val="single" w:sz="4" w:space="0" w:color="000000"/>
              <w:right w:val="single" w:sz="4" w:space="0" w:color="000000"/>
            </w:tcBorders>
            <w:shd w:fill="70AD47" w:val="clear"/>
            <w:vAlign w:val="center"/>
          </w:tcPr>
          <w:p>
            <w:pPr>
              <w:pStyle w:val="Normal1"/>
              <w:suppressAutoHyphens w:val="false"/>
              <w:spacing w:lineRule="auto" w:line="240" w:before="0" w:after="0"/>
              <w:jc w:val="center"/>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56</w:t>
            </w:r>
          </w:p>
        </w:tc>
      </w:tr>
      <w:tr>
        <w:trPr>
          <w:trHeight w:val="375" w:hRule="atLeast"/>
        </w:trPr>
        <w:tc>
          <w:tcPr>
            <w:tcW w:w="262" w:type="dxa"/>
            <w:tcBorders>
              <w:left w:val="single" w:sz="4" w:space="0" w:color="000000"/>
              <w:bottom w:val="single" w:sz="4" w:space="0" w:color="000000"/>
              <w:right w:val="single" w:sz="4" w:space="0" w:color="000000"/>
            </w:tcBorders>
            <w:shd w:fill="FFFFFF" w:val="clear"/>
            <w:vAlign w:val="bottom"/>
          </w:tcPr>
          <w:p>
            <w:pPr>
              <w:pStyle w:val="Normal1"/>
              <w:suppressAutoHyphens w:val="false"/>
              <w:spacing w:lineRule="auto" w:line="240" w:before="0" w:after="0"/>
              <w:textAlignment w:val="auto"/>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 </w:t>
            </w:r>
          </w:p>
        </w:tc>
        <w:tc>
          <w:tcPr>
            <w:tcW w:w="8023" w:type="dxa"/>
            <w:tcBorders>
              <w:bottom w:val="single" w:sz="4" w:space="0" w:color="000000"/>
              <w:right w:val="single" w:sz="4" w:space="0" w:color="000000"/>
            </w:tcBorders>
            <w:shd w:fill="FFC000" w:val="clear"/>
            <w:vAlign w:val="center"/>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Totales</w:t>
            </w:r>
          </w:p>
        </w:tc>
        <w:tc>
          <w:tcPr>
            <w:tcW w:w="2206" w:type="dxa"/>
            <w:tcBorders>
              <w:bottom w:val="single" w:sz="4" w:space="0" w:color="000000"/>
              <w:right w:val="single" w:sz="4" w:space="0" w:color="000000"/>
            </w:tcBorders>
            <w:shd w:fill="FFC000" w:val="clear"/>
            <w:vAlign w:val="center"/>
          </w:tcPr>
          <w:p>
            <w:pPr>
              <w:pStyle w:val="Normal1"/>
              <w:suppressAutoHyphens w:val="false"/>
              <w:spacing w:lineRule="auto" w:line="240" w:before="0" w:after="0"/>
              <w:jc w:val="center"/>
              <w:textAlignment w:val="auto"/>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630</w:t>
            </w:r>
          </w:p>
        </w:tc>
      </w:tr>
    </w:tbl>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rFonts w:ascii="Calibri Light" w:hAnsi="Calibri Light" w:cs="Calibri Light"/>
          <w:sz w:val="24"/>
          <w:szCs w:val="24"/>
        </w:rPr>
      </w:pPr>
      <w:r>
        <w:rPr>
          <w:rFonts w:cs="Calibri Light" w:ascii="Calibri Light" w:hAnsi="Calibri Light"/>
          <w:sz w:val="24"/>
          <w:szCs w:val="24"/>
        </w:rPr>
        <w:t xml:space="preserve">Con relación a otras actividades como: Levantamiento de presupuesto, peritaje, cubicación y supervisión de proyectos de construcción, readecuación y remozamiento de infraestructura; Implementación de Registro Cartográfico; registro de inmuebles recuperados; Informes de gestión de las recuperaciones de inmuebles por incumplimiento de contratos, se han completado en un 100%. </w:t>
      </w:r>
    </w:p>
    <w:p>
      <w:pPr>
        <w:pStyle w:val="Normal1"/>
        <w:jc w:val="both"/>
        <w:rPr>
          <w:rFonts w:ascii="Calibri Light" w:hAnsi="Calibri Light" w:cs="Calibri Light"/>
          <w:sz w:val="24"/>
          <w:szCs w:val="24"/>
        </w:rPr>
      </w:pPr>
      <w:r>
        <w:rPr>
          <w:rFonts w:cs="Calibri Light" w:ascii="Calibri Light" w:hAnsi="Calibri Light"/>
          <w:sz w:val="24"/>
          <w:szCs w:val="24"/>
        </w:rPr>
        <w:t>Es importante destacar que la institución a través del departamento de Sociales e Investigaciones, realiza levantamientos (censos) a oficinas públicas que ocupan espacios alquilados, ubicados en el Distrito Nacional se identificaron 60 oficinas, esto forma parte del proceso de alojar en un edificio de oficinas gubernamentales, que construirá el gobierno por iniciativa de esta Dirección General de Bienes Nacionales. De igual forma se realizaron levantamientos en el interior del país en las provincias de Moca, la Vega, San Francisco de Macorís, Barahona, y el municipio de Villa Bisonó, Navarrete.</w:t>
      </w:r>
    </w:p>
    <w:p>
      <w:pPr>
        <w:pStyle w:val="Normal1"/>
        <w:suppressAutoHyphens w:val="false"/>
        <w:jc w:val="both"/>
        <w:rPr/>
      </w:pPr>
      <w:r>
        <w:rPr>
          <w:rStyle w:val="Fuentedeprrafopredeter"/>
          <w:rFonts w:cs="Calibri Light" w:ascii="Calibri Light" w:hAnsi="Calibri Light"/>
          <w:b/>
          <w:sz w:val="24"/>
          <w:szCs w:val="24"/>
        </w:rPr>
        <w:t xml:space="preserve">La Dirección de Inventario de Bienes Estatales, </w:t>
      </w:r>
      <w:r>
        <w:rPr>
          <w:rStyle w:val="Fuentedeprrafopredeter"/>
          <w:rFonts w:cs="Calibri Light" w:ascii="Calibri Light" w:hAnsi="Calibri Light"/>
          <w:sz w:val="24"/>
          <w:szCs w:val="24"/>
        </w:rPr>
        <w:t xml:space="preserve">quien tiene la responsabilidad de llevar el control y registro de inventario anual de bienes muebles e inmuebles del Estado; también se encarga de la validación de inventarios de bienes muebles e inmuebles externos; de igual forma lleva el registro y control de bienes muebles y vehículos descargados disponibles para subastas; también la reasignación y transferencias de bienes muebles y vehículos y los levantamientos y actualizaciones de inventarios de bienes, conforme a los productos y actividades de avance tenemos que para este trimestre se han realizado </w:t>
      </w:r>
      <w:r>
        <w:rPr>
          <w:rStyle w:val="Fuentedeprrafopredeter"/>
          <w:rFonts w:cs="Calibri Light" w:ascii="Calibri Light" w:hAnsi="Calibri Light"/>
          <w:b/>
          <w:sz w:val="24"/>
          <w:szCs w:val="24"/>
        </w:rPr>
        <w:t xml:space="preserve">54,654 </w:t>
      </w:r>
      <w:r>
        <w:rPr>
          <w:rStyle w:val="Fuentedeprrafopredeter"/>
          <w:rFonts w:cs="Calibri Light" w:ascii="Calibri Light" w:hAnsi="Calibri Light"/>
          <w:bCs/>
          <w:sz w:val="24"/>
          <w:szCs w:val="24"/>
        </w:rPr>
        <w:t>Solicitudes de</w:t>
      </w:r>
      <w:r>
        <w:rPr>
          <w:rStyle w:val="Fuentedeprrafopredeter"/>
          <w:rFonts w:cs="Calibri Light" w:ascii="Calibri Light" w:hAnsi="Calibri Light"/>
          <w:b/>
          <w:sz w:val="24"/>
          <w:szCs w:val="24"/>
        </w:rPr>
        <w:t xml:space="preserve"> </w:t>
      </w:r>
      <w:r>
        <w:rPr>
          <w:rStyle w:val="Fuentedeprrafopredeter"/>
          <w:rFonts w:eastAsia="Times New Roman" w:cs="Calibri Light" w:ascii="Calibri Light" w:hAnsi="Calibri Light"/>
          <w:bCs/>
          <w:color w:val="000000"/>
          <w:kern w:val="0"/>
          <w:sz w:val="24"/>
          <w:szCs w:val="24"/>
          <w:lang w:eastAsia="es-ES"/>
        </w:rPr>
        <w:t xml:space="preserve">Etiquetas de Mobiliarios y Equipos de Oficinas Despachada,  </w:t>
      </w:r>
      <w:r>
        <w:rPr>
          <w:rStyle w:val="Fuentedeprrafopredeter"/>
          <w:rFonts w:eastAsia="Times New Roman" w:cs="Calibri Light" w:ascii="Calibri Light" w:hAnsi="Calibri Light"/>
          <w:b/>
          <w:bCs/>
          <w:color w:val="000000"/>
          <w:kern w:val="0"/>
          <w:sz w:val="24"/>
          <w:szCs w:val="24"/>
          <w:lang w:eastAsia="es-ES"/>
        </w:rPr>
        <w:t xml:space="preserve">355 </w:t>
      </w:r>
      <w:r>
        <w:rPr>
          <w:rStyle w:val="Fuentedeprrafopredeter"/>
          <w:rFonts w:eastAsia="Times New Roman" w:cs="Calibri Light" w:ascii="Calibri Light" w:hAnsi="Calibri Light"/>
          <w:bCs/>
          <w:color w:val="000000"/>
          <w:kern w:val="0"/>
          <w:sz w:val="24"/>
          <w:szCs w:val="24"/>
          <w:lang w:eastAsia="es-ES"/>
        </w:rPr>
        <w:t xml:space="preserve"> Solicitudes de Rotulación/Etiquetas Vehículos de Motor,  </w:t>
      </w:r>
      <w:r>
        <w:rPr>
          <w:rStyle w:val="Fuentedeprrafopredeter"/>
          <w:rFonts w:eastAsia="Times New Roman" w:cs="Calibri Light" w:ascii="Calibri Light" w:hAnsi="Calibri Light"/>
          <w:b/>
          <w:bCs/>
          <w:color w:val="000000"/>
          <w:kern w:val="0"/>
          <w:sz w:val="24"/>
          <w:szCs w:val="24"/>
          <w:lang w:eastAsia="es-ES"/>
        </w:rPr>
        <w:t>1,519</w:t>
      </w:r>
      <w:r>
        <w:rPr>
          <w:rStyle w:val="Fuentedeprrafopredeter"/>
          <w:rFonts w:eastAsia="Times New Roman" w:cs="Calibri Light" w:ascii="Calibri Light" w:hAnsi="Calibri Light"/>
          <w:bCs/>
          <w:color w:val="000000"/>
          <w:kern w:val="0"/>
          <w:sz w:val="24"/>
          <w:szCs w:val="24"/>
          <w:lang w:eastAsia="es-ES"/>
        </w:rPr>
        <w:t xml:space="preserve"> Descargo de Mobiliarios de Oficina y  Equipos,  </w:t>
      </w:r>
      <w:r>
        <w:rPr>
          <w:rStyle w:val="Fuentedeprrafopredeter"/>
          <w:rFonts w:eastAsia="Times New Roman" w:cs="Calibri Light" w:ascii="Calibri Light" w:hAnsi="Calibri Light"/>
          <w:b/>
          <w:bCs/>
          <w:color w:val="000000"/>
          <w:kern w:val="0"/>
          <w:sz w:val="24"/>
          <w:szCs w:val="24"/>
          <w:lang w:eastAsia="es-ES"/>
        </w:rPr>
        <w:t>1,127</w:t>
      </w:r>
      <w:r>
        <w:rPr>
          <w:rStyle w:val="Fuentedeprrafopredeter"/>
          <w:rFonts w:eastAsia="Times New Roman" w:cs="Calibri Light" w:ascii="Calibri Light" w:hAnsi="Calibri Light"/>
          <w:bCs/>
          <w:color w:val="000000"/>
          <w:kern w:val="0"/>
          <w:sz w:val="24"/>
          <w:szCs w:val="24"/>
          <w:lang w:eastAsia="es-ES"/>
        </w:rPr>
        <w:t xml:space="preserve"> Descargo de Vehículos, </w:t>
      </w:r>
      <w:r>
        <w:rPr>
          <w:rStyle w:val="Fuentedeprrafopredeter"/>
          <w:rFonts w:eastAsia="Times New Roman" w:cs="Calibri Light" w:ascii="Calibri Light" w:hAnsi="Calibri Light"/>
          <w:b/>
          <w:bCs/>
          <w:color w:val="000000"/>
          <w:kern w:val="0"/>
          <w:sz w:val="24"/>
          <w:szCs w:val="24"/>
          <w:lang w:eastAsia="es-ES"/>
        </w:rPr>
        <w:t>25</w:t>
      </w:r>
      <w:r>
        <w:rPr>
          <w:rStyle w:val="Fuentedeprrafopredeter"/>
          <w:rFonts w:eastAsia="Times New Roman" w:cs="Calibri Light" w:ascii="Calibri Light" w:hAnsi="Calibri Light"/>
          <w:bCs/>
          <w:color w:val="000000"/>
          <w:kern w:val="0"/>
          <w:sz w:val="24"/>
          <w:szCs w:val="24"/>
          <w:lang w:eastAsia="es-ES"/>
        </w:rPr>
        <w:t xml:space="preserve"> CPU</w:t>
      </w:r>
      <w:r>
        <w:rPr>
          <w:rStyle w:val="Fuentedeprrafopredeter"/>
          <w:rFonts w:eastAsia="Times New Roman" w:cs="Calibri Light" w:ascii="Calibri Light" w:hAnsi="Calibri Light"/>
          <w:b/>
          <w:bCs/>
          <w:color w:val="000000"/>
          <w:kern w:val="0"/>
          <w:sz w:val="24"/>
          <w:szCs w:val="24"/>
          <w:lang w:eastAsia="es-ES"/>
        </w:rPr>
        <w:t>, 2</w:t>
      </w:r>
      <w:r>
        <w:rPr>
          <w:rStyle w:val="Fuentedeprrafopredeter"/>
          <w:rFonts w:eastAsia="Times New Roman" w:cs="Calibri Light" w:ascii="Calibri Light" w:hAnsi="Calibri Light"/>
          <w:bCs/>
          <w:color w:val="000000"/>
          <w:kern w:val="0"/>
          <w:sz w:val="24"/>
          <w:szCs w:val="24"/>
          <w:lang w:eastAsia="es-ES"/>
        </w:rPr>
        <w:t xml:space="preserve"> Camionetas y </w:t>
      </w:r>
      <w:r>
        <w:rPr>
          <w:rStyle w:val="Fuentedeprrafopredeter"/>
          <w:rFonts w:eastAsia="Times New Roman" w:cs="Calibri Light" w:ascii="Calibri Light" w:hAnsi="Calibri Light"/>
          <w:b/>
          <w:bCs/>
          <w:color w:val="000000"/>
          <w:kern w:val="0"/>
          <w:sz w:val="24"/>
          <w:szCs w:val="24"/>
          <w:lang w:eastAsia="es-ES"/>
        </w:rPr>
        <w:t>2,060</w:t>
      </w:r>
      <w:r>
        <w:rPr>
          <w:rStyle w:val="Fuentedeprrafopredeter"/>
          <w:rFonts w:eastAsia="Times New Roman" w:cs="Calibri Light" w:ascii="Calibri Light" w:hAnsi="Calibri Light"/>
          <w:bCs/>
          <w:color w:val="000000"/>
          <w:kern w:val="0"/>
          <w:sz w:val="24"/>
          <w:szCs w:val="24"/>
          <w:lang w:eastAsia="es-ES"/>
        </w:rPr>
        <w:t xml:space="preserve"> Tabletas Transferencias Realizadas, </w:t>
      </w:r>
      <w:r>
        <w:rPr>
          <w:rStyle w:val="Fuentedeprrafopredeter"/>
          <w:rFonts w:eastAsia="Times New Roman" w:cs="Calibri Light" w:ascii="Calibri Light" w:hAnsi="Calibri Light"/>
          <w:b/>
          <w:bCs/>
          <w:color w:val="000000"/>
          <w:kern w:val="0"/>
          <w:sz w:val="24"/>
          <w:szCs w:val="24"/>
          <w:lang w:eastAsia="es-ES"/>
        </w:rPr>
        <w:t>17</w:t>
      </w:r>
      <w:r>
        <w:rPr>
          <w:rStyle w:val="Fuentedeprrafopredeter"/>
          <w:rFonts w:eastAsia="Times New Roman" w:cs="Calibri Light" w:ascii="Calibri Light" w:hAnsi="Calibri Light"/>
          <w:bCs/>
          <w:color w:val="000000"/>
          <w:kern w:val="0"/>
          <w:sz w:val="24"/>
          <w:szCs w:val="24"/>
          <w:lang w:eastAsia="es-ES"/>
        </w:rPr>
        <w:t xml:space="preserve"> vehículos, </w:t>
      </w:r>
      <w:r>
        <w:rPr>
          <w:rStyle w:val="Fuentedeprrafopredeter"/>
          <w:rFonts w:eastAsia="Times New Roman" w:cs="Calibri Light" w:ascii="Calibri Light" w:hAnsi="Calibri Light"/>
          <w:b/>
          <w:bCs/>
          <w:color w:val="000000"/>
          <w:kern w:val="0"/>
          <w:sz w:val="24"/>
          <w:szCs w:val="24"/>
          <w:lang w:eastAsia="es-ES"/>
        </w:rPr>
        <w:t>76</w:t>
      </w:r>
      <w:r>
        <w:rPr>
          <w:rStyle w:val="Fuentedeprrafopredeter"/>
          <w:rFonts w:eastAsia="Times New Roman" w:cs="Calibri Light" w:ascii="Calibri Light" w:hAnsi="Calibri Light"/>
          <w:bCs/>
          <w:color w:val="000000"/>
          <w:kern w:val="0"/>
          <w:sz w:val="24"/>
          <w:szCs w:val="24"/>
          <w:lang w:eastAsia="es-ES"/>
        </w:rPr>
        <w:t xml:space="preserve"> mobiliario y obras de Arte,  </w:t>
      </w:r>
      <w:r>
        <w:rPr>
          <w:rStyle w:val="Fuentedeprrafopredeter"/>
          <w:rFonts w:eastAsia="Times New Roman" w:cs="Calibri Light" w:ascii="Calibri Light" w:hAnsi="Calibri Light"/>
          <w:bCs/>
          <w:kern w:val="0"/>
          <w:sz w:val="24"/>
          <w:szCs w:val="24"/>
          <w:lang w:eastAsia="es-ES"/>
        </w:rPr>
        <w:t xml:space="preserve">Reasignaciones de Mobiliarios y Vehículos de los Almacenes de Bienes Descargados, </w:t>
      </w:r>
      <w:r>
        <w:rPr>
          <w:rStyle w:val="Fuentedeprrafopredeter"/>
          <w:rFonts w:eastAsia="Times New Roman" w:cs="Calibri Light" w:ascii="Calibri Light" w:hAnsi="Calibri Light"/>
          <w:b/>
          <w:bCs/>
          <w:kern w:val="0"/>
          <w:sz w:val="24"/>
          <w:szCs w:val="24"/>
          <w:lang w:eastAsia="es-ES"/>
        </w:rPr>
        <w:t>92</w:t>
      </w:r>
      <w:r>
        <w:rPr>
          <w:rStyle w:val="Fuentedeprrafopredeter"/>
          <w:rFonts w:eastAsia="Times New Roman" w:cs="Calibri Light" w:ascii="Calibri Light" w:hAnsi="Calibri Light"/>
          <w:bCs/>
          <w:kern w:val="0"/>
          <w:sz w:val="24"/>
          <w:szCs w:val="24"/>
          <w:lang w:eastAsia="es-ES"/>
        </w:rPr>
        <w:t xml:space="preserve"> </w:t>
      </w:r>
      <w:r>
        <w:rPr>
          <w:rStyle w:val="Fuentedeprrafopredeter"/>
          <w:rFonts w:eastAsia="Times New Roman" w:cs="Calibri Light" w:ascii="Calibri Light" w:hAnsi="Calibri Light"/>
          <w:bCs/>
          <w:color w:val="000000"/>
          <w:kern w:val="0"/>
          <w:sz w:val="24"/>
          <w:szCs w:val="24"/>
          <w:lang w:eastAsia="es-ES"/>
        </w:rPr>
        <w:t>Etiqueta de Vehículos de Motor Despachada.</w:t>
      </w:r>
    </w:p>
    <w:p>
      <w:pPr>
        <w:pStyle w:val="Normal1"/>
        <w:suppressAutoHyphens w:val="false"/>
        <w:jc w:val="both"/>
        <w:rPr/>
      </w:pPr>
      <w:r>
        <w:rPr>
          <w:rStyle w:val="Fuentedeprrafopredeter"/>
          <w:rFonts w:cs="Calibri Light" w:ascii="Calibri Light" w:hAnsi="Calibri Light"/>
          <w:b/>
          <w:sz w:val="24"/>
          <w:szCs w:val="24"/>
        </w:rPr>
        <w:t>La Dirección Legal y sus Dependencias</w:t>
      </w:r>
      <w:r>
        <w:rPr>
          <w:rStyle w:val="Fuentedeprrafopredeter"/>
          <w:rFonts w:cs="Calibri Light" w:ascii="Calibri Light" w:hAnsi="Calibri Light"/>
          <w:sz w:val="24"/>
          <w:szCs w:val="24"/>
        </w:rPr>
        <w:t xml:space="preserve">, han trabajado a través del área administrativa un total de: 170 Informes Técnicos y determinación de áreas; </w:t>
      </w:r>
      <w:r>
        <w:rPr>
          <w:rStyle w:val="Fuentedeprrafopredeter"/>
          <w:rFonts w:cs="Calibri Light" w:ascii="Calibri Light" w:hAnsi="Calibri Light"/>
          <w:b/>
          <w:sz w:val="24"/>
          <w:szCs w:val="24"/>
        </w:rPr>
        <w:t>103</w:t>
      </w:r>
      <w:r>
        <w:rPr>
          <w:rStyle w:val="Fuentedeprrafopredeter"/>
          <w:rFonts w:cs="Calibri Light" w:ascii="Calibri Light" w:hAnsi="Calibri Light"/>
          <w:sz w:val="24"/>
          <w:szCs w:val="24"/>
        </w:rPr>
        <w:t xml:space="preserve"> Solicitudes de Viáticos; </w:t>
      </w:r>
      <w:r>
        <w:rPr>
          <w:rStyle w:val="Fuentedeprrafopredeter"/>
          <w:rFonts w:cs="Calibri Light" w:ascii="Calibri Light" w:hAnsi="Calibri Light"/>
          <w:b/>
          <w:sz w:val="24"/>
          <w:szCs w:val="24"/>
        </w:rPr>
        <w:t>10</w:t>
      </w:r>
      <w:r>
        <w:rPr>
          <w:rStyle w:val="Fuentedeprrafopredeter"/>
          <w:rFonts w:cs="Calibri Light" w:ascii="Calibri Light" w:hAnsi="Calibri Light"/>
          <w:sz w:val="24"/>
          <w:szCs w:val="24"/>
        </w:rPr>
        <w:t xml:space="preserve"> Pagos de alguacil; </w:t>
      </w:r>
      <w:r>
        <w:rPr>
          <w:rStyle w:val="Fuentedeprrafopredeter"/>
          <w:rFonts w:cs="Calibri Light" w:ascii="Calibri Light" w:hAnsi="Calibri Light"/>
          <w:b/>
          <w:sz w:val="24"/>
          <w:szCs w:val="24"/>
        </w:rPr>
        <w:t xml:space="preserve">706 </w:t>
      </w:r>
      <w:r>
        <w:rPr>
          <w:rStyle w:val="Fuentedeprrafopredeter"/>
          <w:rFonts w:cs="Calibri Light" w:ascii="Calibri Light" w:hAnsi="Calibri Light"/>
          <w:bCs/>
          <w:color w:val="000000"/>
          <w:sz w:val="24"/>
          <w:szCs w:val="24"/>
        </w:rPr>
        <w:t>Solicitudes con No. DG de Volante</w:t>
      </w:r>
      <w:r>
        <w:rPr>
          <w:rStyle w:val="Fuentedeprrafopredeter"/>
          <w:rFonts w:cs="Calibri Light" w:ascii="Calibri Light" w:hAnsi="Calibri Light"/>
          <w:sz w:val="24"/>
          <w:szCs w:val="24"/>
        </w:rPr>
        <w:t xml:space="preserve"> y un total de 638 servicios al cliente con asistencia telefónicas y personal.</w:t>
      </w:r>
    </w:p>
    <w:p>
      <w:pPr>
        <w:pStyle w:val="Normal1"/>
        <w:suppressAutoHyphens w:val="false"/>
        <w:jc w:val="both"/>
        <w:rPr/>
      </w:pPr>
      <w:r>
        <w:rPr>
          <w:rStyle w:val="Fuentedeprrafopredeter"/>
          <w:rFonts w:cs="Calibri Light" w:ascii="Calibri Light" w:hAnsi="Calibri Light"/>
          <w:sz w:val="24"/>
          <w:szCs w:val="24"/>
        </w:rPr>
        <w:t xml:space="preserve"> </w:t>
      </w:r>
      <w:r>
        <w:rPr>
          <w:rStyle w:val="Fuentedeprrafopredeter"/>
          <w:rFonts w:cs="Calibri Light" w:ascii="Calibri Light" w:hAnsi="Calibri Light"/>
          <w:sz w:val="24"/>
          <w:szCs w:val="24"/>
        </w:rPr>
        <w:t xml:space="preserve">Mediante el </w:t>
      </w:r>
      <w:r>
        <w:rPr>
          <w:rStyle w:val="Fuentedeprrafopredeter"/>
          <w:rFonts w:cs="Calibri Light" w:ascii="Calibri Light" w:hAnsi="Calibri Light"/>
          <w:b/>
          <w:sz w:val="24"/>
          <w:szCs w:val="24"/>
        </w:rPr>
        <w:t>Departamento de Litigios</w:t>
      </w:r>
      <w:r>
        <w:rPr>
          <w:rStyle w:val="Fuentedeprrafopredeter"/>
          <w:rFonts w:cs="Calibri Light" w:ascii="Calibri Light" w:hAnsi="Calibri Light"/>
          <w:sz w:val="24"/>
          <w:szCs w:val="24"/>
        </w:rPr>
        <w:t xml:space="preserve">, se han desarrollado </w:t>
      </w:r>
      <w:r>
        <w:rPr>
          <w:rStyle w:val="Fuentedeprrafopredeter"/>
          <w:rFonts w:cs="Calibri Light" w:ascii="Calibri Light" w:hAnsi="Calibri Light"/>
          <w:b/>
          <w:sz w:val="24"/>
          <w:szCs w:val="24"/>
        </w:rPr>
        <w:t>293</w:t>
      </w:r>
      <w:r>
        <w:rPr>
          <w:rStyle w:val="Fuentedeprrafopredeter"/>
          <w:rFonts w:cs="Calibri Light" w:ascii="Calibri Light" w:hAnsi="Calibri Light"/>
          <w:sz w:val="24"/>
          <w:szCs w:val="24"/>
        </w:rPr>
        <w:t xml:space="preserve"> Certificaciones de Oposición o Litis y </w:t>
      </w:r>
      <w:r>
        <w:rPr>
          <w:rStyle w:val="Fuentedeprrafopredeter"/>
          <w:rFonts w:cs="Calibri Light" w:ascii="Calibri Light" w:hAnsi="Calibri Light"/>
          <w:b/>
          <w:sz w:val="24"/>
          <w:szCs w:val="24"/>
        </w:rPr>
        <w:t>353</w:t>
      </w:r>
      <w:r>
        <w:rPr>
          <w:rStyle w:val="Fuentedeprrafopredeter"/>
          <w:rFonts w:cs="Calibri Light" w:ascii="Calibri Light" w:hAnsi="Calibri Light"/>
          <w:sz w:val="24"/>
          <w:szCs w:val="24"/>
        </w:rPr>
        <w:t xml:space="preserve"> Gestiones de Procesos Litigiosos y/o Conciliaciones, las mismas se han desarrollado diferentes tribunales del país. </w:t>
      </w:r>
    </w:p>
    <w:p>
      <w:pPr>
        <w:pStyle w:val="Normal1"/>
        <w:suppressAutoHyphens w:val="false"/>
        <w:jc w:val="both"/>
        <w:rPr/>
      </w:pPr>
      <w:r>
        <w:rPr>
          <w:rStyle w:val="Fuentedeprrafopredeter"/>
          <w:rFonts w:cs="Calibri Light" w:ascii="Calibri Light" w:hAnsi="Calibri Light"/>
          <w:b/>
          <w:sz w:val="24"/>
          <w:szCs w:val="24"/>
        </w:rPr>
        <w:t>El Departamento de Contratos</w:t>
      </w:r>
      <w:r>
        <w:rPr>
          <w:rStyle w:val="Fuentedeprrafopredeter"/>
          <w:rFonts w:cs="Calibri Light" w:ascii="Calibri Light" w:hAnsi="Calibri Light"/>
          <w:sz w:val="24"/>
          <w:szCs w:val="24"/>
        </w:rPr>
        <w:t xml:space="preserve">, ha recibido para este trimestre un total de </w:t>
      </w:r>
      <w:r>
        <w:rPr>
          <w:rStyle w:val="Fuentedeprrafopredeter"/>
          <w:rFonts w:cs="Calibri Light" w:ascii="Calibri Light" w:hAnsi="Calibri Light"/>
          <w:b/>
          <w:sz w:val="24"/>
          <w:szCs w:val="24"/>
        </w:rPr>
        <w:t>365</w:t>
      </w:r>
      <w:r>
        <w:rPr>
          <w:rStyle w:val="Fuentedeprrafopredeter"/>
          <w:rFonts w:cs="Calibri Light" w:ascii="Calibri Light" w:hAnsi="Calibri Light"/>
          <w:sz w:val="24"/>
          <w:szCs w:val="24"/>
        </w:rPr>
        <w:t xml:space="preserve"> expedientes, de los cuales 91 están finalizados. Los productos más solicitados son: Elaboración de Contratos de Bienes y Servicios, Correcciones de Poder, Expedición de Certificaciones de propiedades y No Objeción a Bienes de Familia, Solicitud de Asignación de Poder, Contratos de Transferencias, Solicitud de Autorización al Poder Ejecutivo, entre otras actividades legales.</w:t>
      </w:r>
    </w:p>
    <w:p>
      <w:pPr>
        <w:pStyle w:val="Normal1"/>
        <w:suppressAutoHyphens w:val="false"/>
        <w:jc w:val="both"/>
        <w:rPr/>
      </w:pPr>
      <w:r>
        <w:rPr>
          <w:rStyle w:val="Fuentedeprrafopredeter"/>
          <w:rFonts w:cs="Calibri Light" w:ascii="Calibri Light" w:hAnsi="Calibri Light"/>
          <w:b/>
          <w:sz w:val="24"/>
          <w:szCs w:val="24"/>
        </w:rPr>
        <w:t>El Departamento de Títulos,</w:t>
      </w:r>
      <w:r>
        <w:rPr>
          <w:rStyle w:val="Fuentedeprrafopredeter"/>
          <w:rFonts w:cs="Calibri Light" w:ascii="Calibri Light" w:hAnsi="Calibri Light"/>
          <w:sz w:val="24"/>
          <w:szCs w:val="24"/>
        </w:rPr>
        <w:t xml:space="preserve"> tiene en proceso </w:t>
      </w:r>
      <w:r>
        <w:rPr>
          <w:rStyle w:val="Fuentedeprrafopredeter"/>
          <w:rFonts w:cs="Calibri Light" w:ascii="Calibri Light" w:hAnsi="Calibri Light"/>
          <w:b/>
          <w:sz w:val="24"/>
          <w:szCs w:val="24"/>
        </w:rPr>
        <w:t>113</w:t>
      </w:r>
      <w:r>
        <w:rPr>
          <w:rStyle w:val="Fuentedeprrafopredeter"/>
          <w:rFonts w:cs="Calibri Light" w:ascii="Calibri Light" w:hAnsi="Calibri Light"/>
          <w:sz w:val="24"/>
          <w:szCs w:val="24"/>
        </w:rPr>
        <w:t xml:space="preserve"> expedientes, de los cuales ha concluido con </w:t>
      </w:r>
      <w:r>
        <w:rPr>
          <w:rStyle w:val="Fuentedeprrafopredeter"/>
          <w:rFonts w:cs="Calibri Light" w:ascii="Calibri Light" w:hAnsi="Calibri Light"/>
          <w:b/>
          <w:sz w:val="24"/>
          <w:szCs w:val="24"/>
        </w:rPr>
        <w:t>70</w:t>
      </w:r>
      <w:r>
        <w:rPr>
          <w:rStyle w:val="Fuentedeprrafopredeter"/>
          <w:rFonts w:cs="Calibri Light" w:ascii="Calibri Light" w:hAnsi="Calibri Light"/>
          <w:sz w:val="24"/>
          <w:szCs w:val="24"/>
        </w:rPr>
        <w:t>, 41 de ellos de Certificaciones de Estatus Jurídicos, 11 Depósitos de Títulos, 08 Depósitos de Títulos por Pérdida, entre otras actividades legales.</w:t>
      </w:r>
    </w:p>
    <w:p>
      <w:pPr>
        <w:pStyle w:val="Normal1"/>
        <w:suppressAutoHyphens w:val="false"/>
        <w:jc w:val="both"/>
        <w:rPr/>
      </w:pPr>
      <w:r>
        <w:rPr>
          <w:rStyle w:val="Fuentedeprrafopredeter"/>
          <w:rFonts w:cs="Calibri Light" w:ascii="Calibri Light" w:hAnsi="Calibri Light"/>
          <w:b/>
          <w:sz w:val="24"/>
          <w:szCs w:val="24"/>
        </w:rPr>
        <w:t>Mediante el Plan Nacional de Titulación</w:t>
      </w:r>
      <w:r>
        <w:rPr>
          <w:rStyle w:val="Fuentedeprrafopredeter"/>
          <w:rFonts w:cs="Calibri Light" w:ascii="Calibri Light" w:hAnsi="Calibri Light"/>
          <w:sz w:val="24"/>
          <w:szCs w:val="24"/>
        </w:rPr>
        <w:t xml:space="preserve">, durante el período indicado recibimos contribuyentes del Distrito Nacional y provincia Santo Domingo, solicitando informaciones y orientaciones sobre el plan nacional de titulación en diversos lugares y proyectos, los mismos se corresponden a los sectores: Los Alcarrizos, Los Frailes, Los Minas, Los Mameyes, el Almirante, Villa Duarte, Hainamosa, 30 de Mayo, Villa Juana, el Tamarindo, ensanche Quisqueya, Maquiteria, Manganagua, , San José, Ensanche la Fe, Engombe, Villa Faro, San Miguel y del proyecto habitacional José Contreras.  </w:t>
      </w:r>
    </w:p>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Fue recibido en la DGII el grupo #59, con un total de 29 expedientes con pago de impuestos de transferencia. Se identificó el personal que realizará los trabajos de censo en el proyecto Presa de Monción, provincia Santiago Rodríguez, también en el levantamiento realizado en fecha 12/9/2024 en la parcela no.217 del d.c.14 del municipio de villa González. Se remitió 54 expedientes a la Unidad Técnica de Titulación de Terrenos del Estado   para corrección 54. Recibimos de la Unidad Técnica   un total de 28 títulos transferidos a sus beneficiarios (grupo #58), los mismos resguardados en la Bóveda de la institución. Hemos dado soporte y apoyo a trabajos de levantamiento e identificación de áreas del Ministerio de Hacienda y sus dependencias en edificio principal.</w:t>
      </w:r>
    </w:p>
    <w:p>
      <w:pPr>
        <w:pStyle w:val="Normal1"/>
        <w:suppressAutoHyphens w:val="false"/>
        <w:jc w:val="both"/>
        <w:rPr/>
      </w:pPr>
      <w:r>
        <w:rPr>
          <w:rStyle w:val="Fuentedeprrafopredeter"/>
          <w:rFonts w:cs="Calibri Light" w:ascii="Calibri Light" w:hAnsi="Calibri Light"/>
          <w:b/>
          <w:sz w:val="24"/>
          <w:szCs w:val="24"/>
        </w:rPr>
        <w:t xml:space="preserve"> </w:t>
      </w:r>
      <w:r>
        <w:rPr>
          <w:rStyle w:val="Fuentedeprrafopredeter"/>
          <w:rFonts w:cs="Calibri Light" w:ascii="Calibri Light" w:hAnsi="Calibri Light"/>
          <w:b/>
          <w:sz w:val="24"/>
          <w:szCs w:val="24"/>
        </w:rPr>
        <w:t>División de Archivos de Expedientes Legales</w:t>
      </w:r>
      <w:r>
        <w:rPr>
          <w:rStyle w:val="Fuentedeprrafopredeter"/>
          <w:rFonts w:cs="Calibri Light" w:ascii="Calibri Light" w:hAnsi="Calibri Light"/>
          <w:sz w:val="24"/>
          <w:szCs w:val="24"/>
        </w:rPr>
        <w:t xml:space="preserve">, ha tramitado durante este trimestre un total de </w:t>
      </w:r>
      <w:r>
        <w:rPr>
          <w:rStyle w:val="Fuentedeprrafopredeter"/>
          <w:rFonts w:cs="Calibri Light" w:ascii="Calibri Light" w:hAnsi="Calibri Light"/>
          <w:b/>
          <w:sz w:val="24"/>
          <w:szCs w:val="24"/>
        </w:rPr>
        <w:t>1355</w:t>
      </w:r>
      <w:r>
        <w:rPr>
          <w:rStyle w:val="Fuentedeprrafopredeter"/>
          <w:rFonts w:cs="Calibri Light" w:ascii="Calibri Light" w:hAnsi="Calibri Light"/>
          <w:sz w:val="24"/>
          <w:szCs w:val="24"/>
        </w:rPr>
        <w:t xml:space="preserve"> expedientes entregables, los mismos a requerimientos de los Departamentos de Legal, Contrato, Dirección Técnica, Recuperación de Bienes, Catastro, Sociales e Investigaciones, de la Dirección Financiera, Cobros, al Departamento de Libre Acceso a la información, 4 documentos originales a la dirección legal 4, y se les dio respuesta vía la dirección legal a 92 solicitudes de contribuyentes. </w:t>
      </w:r>
    </w:p>
    <w:p>
      <w:pPr>
        <w:pStyle w:val="Normal1"/>
        <w:suppressAutoHyphens w:val="false"/>
        <w:jc w:val="both"/>
        <w:rPr/>
      </w:pPr>
      <w:r>
        <w:rPr>
          <w:rStyle w:val="Fuentedeprrafopredeter"/>
          <w:rFonts w:cs="Calibri Light" w:ascii="Calibri Light" w:hAnsi="Calibri Light"/>
          <w:b/>
          <w:sz w:val="24"/>
          <w:szCs w:val="24"/>
        </w:rPr>
        <w:t>División de Subasta</w:t>
      </w:r>
      <w:r>
        <w:rPr>
          <w:rStyle w:val="Fuentedeprrafopredeter"/>
          <w:rFonts w:cs="Calibri Light" w:ascii="Calibri Light" w:hAnsi="Calibri Light"/>
          <w:sz w:val="24"/>
          <w:szCs w:val="24"/>
        </w:rPr>
        <w:t>, en este trimestre se realizó en fecha 06 de septiembre 2024 la Pública Subasta No. 02-2024, con 93 cantidad de ofertas, clasificados de la siguiente manera: 72 Casos; 51Lotes; 64 Casos Adjudicados y 46 Lotes Adjudicados, para un monto cobrado a la fecha de RD$21, 650, 00,00. Para esta subasta se han realizado unos 46 certificados de transferencias.</w:t>
      </w:r>
    </w:p>
    <w:p>
      <w:pPr>
        <w:pStyle w:val="Normal1"/>
        <w:suppressAutoHyphens w:val="false"/>
        <w:jc w:val="both"/>
        <w:rPr/>
      </w:pPr>
      <w:r>
        <w:rPr>
          <w:rStyle w:val="Fuentedeprrafopredeter"/>
          <w:rFonts w:cs="Calibri Light" w:ascii="Calibri Light" w:hAnsi="Calibri Light"/>
          <w:sz w:val="24"/>
          <w:szCs w:val="24"/>
        </w:rPr>
        <w:t xml:space="preserve">Esta división ha realizado un total de </w:t>
      </w:r>
      <w:r>
        <w:rPr>
          <w:rStyle w:val="Fuentedeprrafopredeter"/>
          <w:rFonts w:cs="Calibri Light" w:ascii="Calibri Light" w:hAnsi="Calibri Light"/>
          <w:b/>
          <w:sz w:val="24"/>
          <w:szCs w:val="24"/>
        </w:rPr>
        <w:t>12</w:t>
      </w:r>
      <w:r>
        <w:rPr>
          <w:rStyle w:val="Fuentedeprrafopredeter"/>
          <w:rFonts w:cs="Calibri Light" w:ascii="Calibri Light" w:hAnsi="Calibri Light"/>
          <w:sz w:val="24"/>
          <w:szCs w:val="24"/>
        </w:rPr>
        <w:t xml:space="preserve"> descargos de vehículos los mismos en estatus cerrado, las instituciones donde se han llevado a cabo los mismos son: Consejo Nacional para Personas Envejecientes, Comisión de Apoyo Barrial, DGII, DIECOM, Dirección General de Bellas Artes, SENASA, Ministerio de Deportes, Senado, CONAPROFE, Ministerio de Hacienda, entre otras instituciones gubernamentales.</w:t>
      </w:r>
    </w:p>
    <w:p>
      <w:pPr>
        <w:pStyle w:val="Normal1"/>
        <w:suppressAutoHyphens w:val="false"/>
        <w:spacing w:lineRule="auto" w:line="242"/>
        <w:textAlignment w:val="auto"/>
        <w:rPr/>
      </w:pPr>
      <w:r>
        <w:rPr>
          <w:rStyle w:val="Fuentedeprrafopredeter"/>
          <w:rFonts w:cs="Calibri Light" w:ascii="Calibri Light" w:hAnsi="Calibri Light"/>
          <w:b/>
          <w:sz w:val="24"/>
          <w:szCs w:val="24"/>
        </w:rPr>
        <w:t>A través de la Oficina de Libre Acceso a la Información Pública</w:t>
      </w:r>
      <w:r>
        <w:rPr>
          <w:rStyle w:val="Fuentedeprrafopredeter"/>
          <w:rFonts w:cs="Calibri Light" w:ascii="Calibri Light" w:hAnsi="Calibri Light"/>
          <w:sz w:val="24"/>
          <w:szCs w:val="24"/>
        </w:rPr>
        <w:t>, se han recibido un total de (5) Solicitudes contestada de manera física; (13) solicitudes recibidas y contestadas vía SAIP; (2) solicitudes vía correo electrónico y (15) asesorías ofrecidas, (4) Queja por el sistema (311).</w:t>
      </w:r>
    </w:p>
    <w:p>
      <w:pPr>
        <w:pStyle w:val="Normal1"/>
        <w:suppressAutoHyphens w:val="false"/>
        <w:spacing w:lineRule="auto" w:line="242"/>
        <w:jc w:val="both"/>
        <w:textAlignment w:val="auto"/>
        <w:rPr>
          <w:rFonts w:ascii="Calibri Light" w:hAnsi="Calibri Light" w:cs="Calibri Light"/>
          <w:sz w:val="24"/>
          <w:szCs w:val="24"/>
        </w:rPr>
      </w:pPr>
      <w:r>
        <w:rPr>
          <w:rFonts w:cs="Calibri Light" w:ascii="Calibri Light" w:hAnsi="Calibri Light"/>
          <w:sz w:val="24"/>
          <w:szCs w:val="24"/>
        </w:rPr>
        <w:t xml:space="preserve"> </w:t>
      </w:r>
      <w:r>
        <w:rPr>
          <w:rFonts w:cs="Calibri Light" w:ascii="Calibri Light" w:hAnsi="Calibri Light"/>
          <w:sz w:val="24"/>
          <w:szCs w:val="24"/>
        </w:rPr>
        <w:t xml:space="preserve">Se ha participado en las siguientes actividades: Taller sobre la ley 200-04, sobre libre acceso a la información y sobre ética pública. Ocho (8) solicitudes ofrecidas de forma física. Participación en el 3er congreso Internacional de Integridad Gubernamental y Cumplimiento Normativo celebrado en el Hotel Hard Rock Hotel &amp; Casino Punta Cana, del 23 al 25, donde sostuvimos diversos talleres. </w:t>
      </w:r>
    </w:p>
    <w:p>
      <w:pPr>
        <w:pStyle w:val="Normal1"/>
        <w:suppressAutoHyphens w:val="false"/>
        <w:spacing w:lineRule="auto" w:line="242"/>
        <w:jc w:val="both"/>
        <w:textAlignment w:val="auto"/>
        <w:rPr/>
      </w:pPr>
      <w:r>
        <w:rPr>
          <w:rStyle w:val="Fuentedeprrafopredeter"/>
          <w:rFonts w:cs="Calibri Light" w:ascii="Calibri Light" w:hAnsi="Calibri Light"/>
          <w:b/>
          <w:sz w:val="24"/>
          <w:szCs w:val="24"/>
        </w:rPr>
        <w:t>La Dirección de Coordinación de Oficinas Provinciales,</w:t>
      </w:r>
      <w:r>
        <w:rPr>
          <w:rStyle w:val="Fuentedeprrafopredeter"/>
          <w:rFonts w:cs="Calibri Light" w:ascii="Calibri Light" w:hAnsi="Calibri Light"/>
          <w:sz w:val="24"/>
          <w:szCs w:val="24"/>
        </w:rPr>
        <w:t xml:space="preserve"> dando continuidad a las metas establecidas en el POA, presentamos las actividades con la adecuación y remozamiento de áreas del Edifico Gubernamental Rafael Kasse Actas, donde funciona esta Dirección Provincial y varias oficinas de Bienes Nacionales. De igual forma se continúa ejecutando los informes mensuales de cobros, dichos cobros son de DGBN como del Ministerio de la Vivienda, realizados en las siguientes oficinas provinciales: Santiago, Duarte, La Vega, Espaillat, María Trinidad Sánchez, con un monto total de RD$693,778.05</w:t>
      </w:r>
    </w:p>
    <w:p>
      <w:pPr>
        <w:pStyle w:val="Normal1"/>
        <w:suppressAutoHyphens w:val="false"/>
        <w:spacing w:lineRule="auto" w:line="242"/>
        <w:jc w:val="both"/>
        <w:textAlignment w:val="auto"/>
        <w:rPr>
          <w:rFonts w:ascii="Calibri Light" w:hAnsi="Calibri Light" w:cs="Calibri Light"/>
          <w:sz w:val="24"/>
          <w:szCs w:val="24"/>
        </w:rPr>
      </w:pPr>
      <w:r>
        <w:rPr>
          <w:rFonts w:cs="Calibri Light" w:ascii="Calibri Light" w:hAnsi="Calibri Light"/>
          <w:sz w:val="24"/>
          <w:szCs w:val="24"/>
        </w:rPr>
        <w:t xml:space="preserve">En el mes de agosto se recibieron 16 notificaciones de casos legales de las diferentes provincias y se remitieron al, las mismas se remitieron al departamento de Litigios vía la Dirección Jurídica de Bienes Nacionales, las provincias con: Santiago, Puerto Plata, San Juan de la Maguana (Acto 743, Sobre inicio de trabajos de deslinde del día 31/08/2024 y el Acto 788, Citación, secretaria del Tribunal de Tierras de la Jurisdicción), Peravia, Monseñor Nouel. De igual forma se enviaron técnicos a las provincias de San Cristóbal e Independencia, para fines de levantamientos. </w:t>
      </w:r>
    </w:p>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Se Completó las metas pautadas sobre adecuación y mobiliarios de oficinas provinciales 8/8, para un 100% completado.</w:t>
      </w:r>
    </w:p>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 xml:space="preserve">Continuamos dando apoyo a las entregas de las comunicaciones de la 2da fase del Censo de Bienes Inmuebles del Estado, tenemos la responsabilidad de los ayuntamientos e instituciones gubernamentales con sedes en las provincias. </w:t>
      </w:r>
    </w:p>
    <w:p>
      <w:pPr>
        <w:pStyle w:val="Normal1"/>
        <w:suppressAutoHyphens w:val="false"/>
        <w:jc w:val="both"/>
        <w:rPr/>
      </w:pPr>
      <w:r>
        <w:rPr>
          <w:rStyle w:val="Fuentedeprrafopredeter"/>
          <w:rFonts w:cs="Calibri Light" w:ascii="Calibri Light" w:hAnsi="Calibri Light"/>
          <w:b/>
          <w:sz w:val="24"/>
          <w:szCs w:val="24"/>
        </w:rPr>
        <w:t>La Dirección Administrativa y sus Dependencias,</w:t>
      </w:r>
      <w:r>
        <w:rPr>
          <w:rStyle w:val="Fuentedeprrafopredeter"/>
          <w:rFonts w:cs="Calibri Light" w:ascii="Calibri Light" w:hAnsi="Calibri Light"/>
          <w:sz w:val="24"/>
          <w:szCs w:val="24"/>
        </w:rPr>
        <w:t xml:space="preserve"> tiene la responsabilidad de dirigir las actividades administrativas de la institución. A continuación, se presenta los avances del POA de esta dirección y las áreas que son dependencias de esta. La Dirección Administrativa recibe distintas solicitudes, para este trimestre se han tramitado: (308) Solicitudes de viáticos, correspondientes a las provincias de: San Juan de la Maguana, Montecristi, Espaillat, Azua, Barahona, Monseñor Nouel, Santiago, San Pedro de Macorís, Azua, Sánchez Ramírez, Puerto Plata, Samaná, Peravia, La Altagracia, San José de Ocoa, La Romana, San Cristóbal, María Trinidad Sánchez, Elías Piña, Monte Plata, Hato Mayor, El Seibo, Independencia y La Vega.  También se han tramitado (112) solicitudes de pagos. De igual forma se han realizado   las compras requeridas mediante caja chica, en vistas las reposiciones de fondos de la Dirección Financiera. </w:t>
      </w:r>
    </w:p>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En cuanto a las necesidades de mobiliarios de oficinas, cubículos y equipos adecuados requeridos por las áreas se está avanzando, cumpliendo en la medida de las prioridades y eficientizando los procesos y funcionamiento de los departamentos.</w:t>
      </w:r>
    </w:p>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Se ha concluido con la instalación del Área de Lactancia Materna, se ha creado un espacio adecuado para que las colaboradoras que estén lactando puedan realizar la extracción y la conservación adecuada de la leche materna, cumpliendo así con lo previsto en el Plan de Mejora institucional.</w:t>
      </w:r>
    </w:p>
    <w:p>
      <w:pPr>
        <w:pStyle w:val="Normal1"/>
        <w:suppressAutoHyphens w:val="false"/>
        <w:jc w:val="both"/>
        <w:rPr/>
      </w:pPr>
      <w:r>
        <w:rPr>
          <w:rStyle w:val="Fuentedeprrafopredeter"/>
          <w:rFonts w:cs="Calibri Light" w:ascii="Calibri Light" w:hAnsi="Calibri Light"/>
          <w:b/>
          <w:sz w:val="24"/>
          <w:szCs w:val="24"/>
        </w:rPr>
        <w:t>La Unidad de Compras</w:t>
      </w:r>
      <w:r>
        <w:rPr>
          <w:rStyle w:val="Fuentedeprrafopredeter"/>
          <w:rFonts w:cs="Calibri Light" w:ascii="Calibri Light" w:hAnsi="Calibri Light"/>
          <w:sz w:val="24"/>
          <w:szCs w:val="24"/>
        </w:rPr>
        <w:t>, junto a la dirección Administrativa, velan por el fiel cumplimiento de la Ley 340-6 y su Reglamento de Aplicación 416-23, en los distintos procesos de compras a través del Portal Transaccional. Todos los procesos de compras son ejecutados a través del Sistema Electrónico de Contrataciones Públicas (SECP), atendiendo a las diferentes necesidades de la institución.</w:t>
      </w:r>
    </w:p>
    <w:p>
      <w:pPr>
        <w:pStyle w:val="Normal1"/>
        <w:suppressAutoHyphens w:val="false"/>
        <w:jc w:val="both"/>
        <w:rPr/>
      </w:pPr>
      <w:r>
        <w:rPr>
          <w:rStyle w:val="Fuentedeprrafopredeter"/>
          <w:rFonts w:cs="Calibri Light" w:ascii="Calibri Light" w:hAnsi="Calibri Light"/>
          <w:sz w:val="24"/>
          <w:szCs w:val="24"/>
        </w:rPr>
        <w:t xml:space="preserve">Para este trimestre se han ejecutado un total de </w:t>
      </w:r>
      <w:r>
        <w:rPr>
          <w:rStyle w:val="Fuentedeprrafopredeter"/>
          <w:rFonts w:cs="Calibri Light" w:ascii="Calibri Light" w:hAnsi="Calibri Light"/>
          <w:b/>
          <w:sz w:val="24"/>
          <w:szCs w:val="24"/>
        </w:rPr>
        <w:t>41</w:t>
      </w:r>
      <w:r>
        <w:rPr>
          <w:rStyle w:val="Fuentedeprrafopredeter"/>
          <w:rFonts w:cs="Calibri Light" w:ascii="Calibri Light" w:hAnsi="Calibri Light"/>
          <w:sz w:val="24"/>
          <w:szCs w:val="24"/>
        </w:rPr>
        <w:t xml:space="preserve"> procesos adjudicados de compra, los mismos para suplir necesidades institucionales, con modalidad de compra menores, compra por debajo del umbral, comparación de precios, Procesos de Excepción con empresas Mipyme Mujer y empresas grande. Para este periodo el monto utilizado para compras asciende a </w:t>
      </w:r>
      <w:r>
        <w:rPr>
          <w:rStyle w:val="Fuentedeprrafopredeter"/>
          <w:rFonts w:cs="Calibri Light" w:ascii="Calibri Light" w:hAnsi="Calibri Light"/>
          <w:b/>
          <w:bCs/>
          <w:sz w:val="24"/>
          <w:szCs w:val="24"/>
        </w:rPr>
        <w:t>RD$ 38,323,759.98.</w:t>
      </w:r>
    </w:p>
    <w:p>
      <w:pPr>
        <w:pStyle w:val="Normal1"/>
        <w:suppressAutoHyphens w:val="false"/>
        <w:jc w:val="both"/>
        <w:rPr/>
      </w:pPr>
      <w:r>
        <w:rPr>
          <w:rStyle w:val="Fuentedeprrafopredeter"/>
          <w:rFonts w:cs="Calibri Light" w:ascii="Calibri Light" w:hAnsi="Calibri Light"/>
          <w:sz w:val="24"/>
          <w:szCs w:val="24"/>
        </w:rPr>
        <w:t xml:space="preserve">Para este periodo la institución cuenta con una puntación oficial de </w:t>
      </w:r>
      <w:r>
        <w:rPr>
          <w:rStyle w:val="Fuentedeprrafopredeter"/>
          <w:rFonts w:cs="Calibri Light" w:ascii="Calibri Light" w:hAnsi="Calibri Light"/>
          <w:b/>
          <w:sz w:val="24"/>
          <w:szCs w:val="24"/>
        </w:rPr>
        <w:t>98.5</w:t>
      </w:r>
      <w:r>
        <w:rPr>
          <w:rStyle w:val="Fuentedeprrafopredeter"/>
          <w:rFonts w:cs="Calibri Light" w:ascii="Calibri Light" w:hAnsi="Calibri Light"/>
          <w:sz w:val="24"/>
          <w:szCs w:val="24"/>
        </w:rPr>
        <w:t>, en el Indicador del Sistema Nacional de Contrataciones Públicas (SISCOMPRAS).</w:t>
      </w:r>
    </w:p>
    <w:p>
      <w:pPr>
        <w:pStyle w:val="Normal1"/>
        <w:suppressAutoHyphens w:val="false"/>
        <w:jc w:val="both"/>
        <w:rPr/>
      </w:pPr>
      <w:r>
        <w:rPr>
          <w:rStyle w:val="Fuentedeprrafopredeter"/>
          <w:rFonts w:cs="Calibri Light" w:ascii="Calibri Light" w:hAnsi="Calibri Light"/>
          <w:sz w:val="24"/>
          <w:szCs w:val="24"/>
        </w:rPr>
        <w:t xml:space="preserve">Con relación a la </w:t>
      </w:r>
      <w:r>
        <w:rPr>
          <w:rStyle w:val="Fuentedeprrafopredeter"/>
          <w:rFonts w:cs="Calibri Light" w:ascii="Calibri Light" w:hAnsi="Calibri Light"/>
          <w:b/>
          <w:sz w:val="24"/>
          <w:szCs w:val="24"/>
        </w:rPr>
        <w:t>Sección de Mantenimiento</w:t>
      </w:r>
      <w:r>
        <w:rPr>
          <w:rStyle w:val="Fuentedeprrafopredeter"/>
          <w:rFonts w:cs="Calibri Light" w:ascii="Calibri Light" w:hAnsi="Calibri Light"/>
          <w:sz w:val="24"/>
          <w:szCs w:val="24"/>
        </w:rPr>
        <w:t xml:space="preserve">, se concluyeron los trabajos de alambrado con cable de data en las áreas de: Salón Reuniones Militar, departamento de Comunicaciones, Data Center del Censo de Bienes Inmuebles del Estado y la dirección de Tecnología de la Información. De igual forma se ha reparado e instalado aires acondicionados en la Dirección Inmobiliaria, Dirección Legal, Salón de Conciliación, sección de Mayordomía, 4to y 5to piso de la sede central de la institución. Se ha mantenido jornada de fumigación y la reparación de baños, en las áreas de Seguridad Militar, Dirección Financiera y área de Recepción, entre otras actividades operativas, para un total de 20 trabajos realizados. </w:t>
      </w:r>
    </w:p>
    <w:p>
      <w:pPr>
        <w:pStyle w:val="Normal1"/>
        <w:suppressAutoHyphens w:val="false"/>
        <w:jc w:val="both"/>
        <w:rPr>
          <w:rFonts w:ascii="Calibri Light" w:hAnsi="Calibri Light" w:cs="Calibri Light"/>
          <w:b/>
          <w:sz w:val="24"/>
          <w:szCs w:val="24"/>
        </w:rPr>
      </w:pPr>
      <w:r>
        <w:rPr>
          <w:rFonts w:cs="Calibri Light" w:ascii="Calibri Light" w:hAnsi="Calibri Light"/>
          <w:b/>
          <w:sz w:val="24"/>
          <w:szCs w:val="24"/>
        </w:rPr>
        <w:t>El área de Correspondencia presenta trabajos operativos del trimestre:</w:t>
      </w:r>
    </w:p>
    <w:tbl>
      <w:tblPr>
        <w:tblW w:w="9209" w:type="dxa"/>
        <w:jc w:val="left"/>
        <w:tblInd w:w="-5" w:type="dxa"/>
        <w:tblLayout w:type="fixed"/>
        <w:tblCellMar>
          <w:top w:w="0" w:type="dxa"/>
          <w:left w:w="108" w:type="dxa"/>
          <w:bottom w:w="0" w:type="dxa"/>
          <w:right w:w="108" w:type="dxa"/>
        </w:tblCellMar>
      </w:tblPr>
      <w:tblGrid>
        <w:gridCol w:w="2831"/>
        <w:gridCol w:w="2831"/>
        <w:gridCol w:w="3547"/>
      </w:tblGrid>
      <w:tr>
        <w:trPr/>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sz w:val="24"/>
                <w:szCs w:val="24"/>
              </w:rPr>
            </w:pPr>
            <w:r>
              <w:rPr>
                <w:rFonts w:cs="Calibri Light" w:ascii="Calibri Light" w:hAnsi="Calibri Light"/>
                <w:b/>
                <w:sz w:val="24"/>
                <w:szCs w:val="24"/>
              </w:rPr>
              <w:t>Correspondencias Recibidas</w:t>
            </w:r>
          </w:p>
        </w:tc>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sz w:val="24"/>
                <w:szCs w:val="24"/>
              </w:rPr>
            </w:pPr>
            <w:r>
              <w:rPr>
                <w:rFonts w:cs="Calibri Light" w:ascii="Calibri Light" w:hAnsi="Calibri Light"/>
                <w:b/>
                <w:sz w:val="24"/>
                <w:szCs w:val="24"/>
              </w:rPr>
              <w:t>Oficios Enviados</w:t>
            </w:r>
          </w:p>
        </w:tc>
        <w:tc>
          <w:tcPr>
            <w:tcW w:w="35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sz w:val="24"/>
                <w:szCs w:val="24"/>
              </w:rPr>
            </w:pPr>
            <w:r>
              <w:rPr>
                <w:rFonts w:cs="Calibri Light" w:ascii="Calibri Light" w:hAnsi="Calibri Light"/>
                <w:b/>
                <w:sz w:val="24"/>
                <w:szCs w:val="24"/>
              </w:rPr>
              <w:t>Documentos Legales Enumerados</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sz w:val="24"/>
                <w:szCs w:val="24"/>
              </w:rPr>
            </w:pPr>
            <w:r>
              <w:rPr>
                <w:rFonts w:cs="Calibri Light" w:ascii="Calibri Light" w:hAnsi="Calibri Light"/>
                <w:sz w:val="24"/>
                <w:szCs w:val="24"/>
              </w:rPr>
              <w:t>1,074</w:t>
            </w:r>
          </w:p>
        </w:tc>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sz w:val="24"/>
                <w:szCs w:val="24"/>
              </w:rPr>
            </w:pPr>
            <w:r>
              <w:rPr>
                <w:rFonts w:cs="Calibri Light" w:ascii="Calibri Light" w:hAnsi="Calibri Light"/>
                <w:sz w:val="24"/>
                <w:szCs w:val="24"/>
              </w:rPr>
              <w:t>1,327</w:t>
            </w:r>
          </w:p>
        </w:tc>
        <w:tc>
          <w:tcPr>
            <w:tcW w:w="35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sz w:val="24"/>
                <w:szCs w:val="24"/>
              </w:rPr>
            </w:pPr>
            <w:r>
              <w:rPr>
                <w:rFonts w:cs="Calibri Light" w:ascii="Calibri Light" w:hAnsi="Calibri Light"/>
                <w:sz w:val="24"/>
                <w:szCs w:val="24"/>
              </w:rPr>
              <w:t>6</w:t>
            </w:r>
          </w:p>
        </w:tc>
      </w:tr>
    </w:tbl>
    <w:p>
      <w:pPr>
        <w:pStyle w:val="Normal1"/>
        <w:suppressAutoHyphens w:val="false"/>
        <w:jc w:val="center"/>
        <w:rPr>
          <w:rFonts w:ascii="Calibri Light" w:hAnsi="Calibri Light" w:cs="Calibri Light"/>
          <w:sz w:val="24"/>
          <w:szCs w:val="24"/>
        </w:rPr>
      </w:pPr>
      <w:r>
        <w:rPr>
          <w:rFonts w:cs="Calibri Light" w:ascii="Calibri Light" w:hAnsi="Calibri Light"/>
          <w:sz w:val="24"/>
          <w:szCs w:val="24"/>
        </w:rPr>
      </w:r>
    </w:p>
    <w:p>
      <w:pPr>
        <w:pStyle w:val="Normal1"/>
        <w:suppressAutoHyphens w:val="false"/>
        <w:jc w:val="both"/>
        <w:rPr/>
      </w:pPr>
      <w:r>
        <w:rPr>
          <w:rStyle w:val="Fuentedeprrafopredeter"/>
          <w:rFonts w:cs="Calibri Light" w:ascii="Calibri Light" w:hAnsi="Calibri Light"/>
          <w:sz w:val="24"/>
          <w:szCs w:val="24"/>
        </w:rPr>
        <w:t xml:space="preserve">  </w:t>
      </w:r>
      <w:r>
        <w:rPr>
          <w:rStyle w:val="Fuentedeprrafopredeter"/>
          <w:rFonts w:cs="Calibri Light" w:ascii="Calibri Light" w:hAnsi="Calibri Light"/>
          <w:b/>
          <w:sz w:val="24"/>
          <w:szCs w:val="24"/>
        </w:rPr>
        <w:t>A través de Servicio al Cliente, se han registrados las siguientes actividades:</w:t>
      </w:r>
    </w:p>
    <w:tbl>
      <w:tblPr>
        <w:tblW w:w="9209" w:type="dxa"/>
        <w:jc w:val="left"/>
        <w:tblInd w:w="-5" w:type="dxa"/>
        <w:tblLayout w:type="fixed"/>
        <w:tblCellMar>
          <w:top w:w="0" w:type="dxa"/>
          <w:left w:w="108" w:type="dxa"/>
          <w:bottom w:w="0" w:type="dxa"/>
          <w:right w:w="108" w:type="dxa"/>
        </w:tblCellMar>
      </w:tblPr>
      <w:tblGrid>
        <w:gridCol w:w="4247"/>
        <w:gridCol w:w="4962"/>
      </w:tblGrid>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sz w:val="24"/>
                <w:szCs w:val="24"/>
              </w:rPr>
            </w:pPr>
            <w:r>
              <w:rPr>
                <w:rFonts w:cs="Calibri Light" w:ascii="Calibri Light" w:hAnsi="Calibri Light"/>
                <w:b/>
                <w:sz w:val="24"/>
                <w:szCs w:val="24"/>
              </w:rPr>
              <w:t>Visitas</w:t>
            </w:r>
          </w:p>
        </w:tc>
        <w:tc>
          <w:tcPr>
            <w:tcW w:w="4962"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sz w:val="24"/>
                <w:szCs w:val="24"/>
              </w:rPr>
            </w:pPr>
            <w:r>
              <w:rPr>
                <w:rFonts w:cs="Calibri Light" w:ascii="Calibri Light" w:hAnsi="Calibri Light"/>
                <w:b/>
                <w:sz w:val="24"/>
                <w:szCs w:val="24"/>
              </w:rPr>
              <w:t>Certificaciones Saldo Recibidas</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sz w:val="24"/>
                <w:szCs w:val="24"/>
              </w:rPr>
            </w:pPr>
            <w:r>
              <w:rPr>
                <w:rFonts w:cs="Calibri Light" w:ascii="Calibri Light" w:hAnsi="Calibri Light"/>
                <w:sz w:val="24"/>
                <w:szCs w:val="24"/>
              </w:rPr>
              <w:t>5,399</w:t>
            </w:r>
          </w:p>
        </w:tc>
        <w:tc>
          <w:tcPr>
            <w:tcW w:w="4962"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sz w:val="24"/>
                <w:szCs w:val="24"/>
              </w:rPr>
            </w:pPr>
            <w:r>
              <w:rPr>
                <w:rFonts w:cs="Calibri Light" w:ascii="Calibri Light" w:hAnsi="Calibri Light"/>
                <w:sz w:val="24"/>
                <w:szCs w:val="24"/>
              </w:rPr>
              <w:t>107</w:t>
            </w:r>
          </w:p>
        </w:tc>
      </w:tr>
    </w:tbl>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 xml:space="preserve">    </w:t>
      </w:r>
    </w:p>
    <w:p>
      <w:pPr>
        <w:pStyle w:val="Normal1"/>
        <w:suppressAutoHyphens w:val="false"/>
        <w:jc w:val="both"/>
        <w:rPr/>
      </w:pPr>
      <w:r>
        <w:rPr>
          <w:rStyle w:val="Fuentedeprrafopredeter"/>
          <w:rFonts w:cs="Calibri Light" w:ascii="Calibri Light" w:hAnsi="Calibri Light"/>
          <w:b/>
          <w:bCs/>
          <w:sz w:val="24"/>
          <w:szCs w:val="24"/>
        </w:rPr>
        <w:t>La Sección de Transportación</w:t>
      </w:r>
      <w:r>
        <w:rPr>
          <w:rStyle w:val="Fuentedeprrafopredeter"/>
          <w:rFonts w:cs="Calibri Light" w:ascii="Calibri Light" w:hAnsi="Calibri Light"/>
          <w:sz w:val="24"/>
          <w:szCs w:val="24"/>
        </w:rPr>
        <w:t>, se encarga de coordinar el uso de la flota vehicular/motorizada, diariamente se realizan las acciones de control de chequeo, mantenimientos correctivos, reparaciones, lavados y acondicionamientos en general de los vehículos y autobuses. Se dio asistencia a un total de 32 áreas y/o departamentos, con un total de 202 servicios.</w:t>
      </w:r>
    </w:p>
    <w:p>
      <w:pPr>
        <w:pStyle w:val="Normal1"/>
        <w:suppressAutoHyphens w:val="false"/>
        <w:jc w:val="both"/>
        <w:rPr/>
      </w:pPr>
      <w:r>
        <w:rPr>
          <w:rStyle w:val="Fuentedeprrafopredeter"/>
          <w:rFonts w:cs="Calibri Light" w:ascii="Calibri Light" w:hAnsi="Calibri Light"/>
          <w:b/>
          <w:bCs/>
          <w:sz w:val="24"/>
          <w:szCs w:val="24"/>
        </w:rPr>
        <w:t>La Sección de Almacén y Suministro,</w:t>
      </w:r>
      <w:r>
        <w:rPr>
          <w:rStyle w:val="Fuentedeprrafopredeter"/>
          <w:rFonts w:cs="Calibri Light" w:ascii="Calibri Light" w:hAnsi="Calibri Light"/>
          <w:sz w:val="24"/>
          <w:szCs w:val="24"/>
        </w:rPr>
        <w:t xml:space="preserve"> para este trimestre presenta los siguientes movimientos: </w:t>
      </w:r>
    </w:p>
    <w:p>
      <w:pPr>
        <w:pStyle w:val="Prrafodelista"/>
        <w:numPr>
          <w:ilvl w:val="0"/>
          <w:numId w:val="5"/>
        </w:numPr>
        <w:suppressAutoHyphens w:val="false"/>
        <w:jc w:val="both"/>
        <w:rPr>
          <w:rFonts w:ascii="Calibri Light" w:hAnsi="Calibri Light" w:cs="Calibri Light"/>
          <w:sz w:val="24"/>
          <w:szCs w:val="24"/>
        </w:rPr>
      </w:pPr>
      <w:r>
        <w:rPr>
          <w:rFonts w:cs="Calibri Light" w:ascii="Calibri Light" w:hAnsi="Calibri Light"/>
          <w:sz w:val="24"/>
          <w:szCs w:val="24"/>
        </w:rPr>
        <w:t>Almacén Principal: 2,266,747.37 Valor Inventario</w:t>
      </w:r>
    </w:p>
    <w:p>
      <w:pPr>
        <w:pStyle w:val="Prrafodelista"/>
        <w:numPr>
          <w:ilvl w:val="0"/>
          <w:numId w:val="5"/>
        </w:numPr>
        <w:suppressAutoHyphens w:val="false"/>
        <w:jc w:val="both"/>
        <w:rPr>
          <w:rFonts w:ascii="Calibri Light" w:hAnsi="Calibri Light" w:cs="Calibri Light"/>
          <w:sz w:val="24"/>
          <w:szCs w:val="24"/>
        </w:rPr>
      </w:pPr>
      <w:r>
        <w:rPr>
          <w:rFonts w:cs="Calibri Light" w:ascii="Calibri Light" w:hAnsi="Calibri Light"/>
          <w:sz w:val="24"/>
          <w:szCs w:val="24"/>
        </w:rPr>
        <w:t>Almacén de Tecnología: 3,287,899.74</w:t>
      </w:r>
    </w:p>
    <w:p>
      <w:pPr>
        <w:pStyle w:val="Prrafodelista"/>
        <w:numPr>
          <w:ilvl w:val="0"/>
          <w:numId w:val="5"/>
        </w:numPr>
        <w:suppressAutoHyphens w:val="false"/>
        <w:jc w:val="both"/>
        <w:rPr>
          <w:rFonts w:ascii="Calibri Light" w:hAnsi="Calibri Light" w:cs="Calibri Light"/>
          <w:sz w:val="24"/>
          <w:szCs w:val="24"/>
        </w:rPr>
      </w:pPr>
      <w:r>
        <w:rPr>
          <w:rFonts w:cs="Calibri Light" w:ascii="Calibri Light" w:hAnsi="Calibri Light"/>
          <w:sz w:val="24"/>
          <w:szCs w:val="24"/>
        </w:rPr>
        <w:t xml:space="preserve">Almacén de Activos Fijos: 76,650.00  </w:t>
      </w:r>
    </w:p>
    <w:p>
      <w:pPr>
        <w:pStyle w:val="Normal1"/>
        <w:suppressAutoHyphens w:val="false"/>
        <w:jc w:val="both"/>
        <w:rPr/>
      </w:pPr>
      <w:r>
        <w:rPr>
          <w:rStyle w:val="Fuentedeprrafopredeter"/>
          <w:rFonts w:cs="Calibri Light" w:ascii="Calibri Light" w:hAnsi="Calibri Light"/>
          <w:b/>
          <w:bCs/>
          <w:sz w:val="24"/>
          <w:szCs w:val="24"/>
        </w:rPr>
        <w:t>La Dirección Financiera y sus Dependencias</w:t>
      </w:r>
      <w:r>
        <w:rPr>
          <w:rStyle w:val="Fuentedeprrafopredeter"/>
          <w:rFonts w:cs="Calibri Light" w:ascii="Calibri Light" w:hAnsi="Calibri Light"/>
          <w:sz w:val="24"/>
          <w:szCs w:val="24"/>
        </w:rPr>
        <w:t xml:space="preserve">, a través del departamento de </w:t>
      </w:r>
      <w:r>
        <w:rPr>
          <w:rStyle w:val="Fuentedeprrafopredeter"/>
          <w:rFonts w:cs="Calibri Light" w:ascii="Calibri Light" w:hAnsi="Calibri Light"/>
          <w:b/>
          <w:bCs/>
          <w:sz w:val="24"/>
          <w:szCs w:val="24"/>
        </w:rPr>
        <w:t>Contabilidad</w:t>
      </w:r>
      <w:r>
        <w:rPr>
          <w:rStyle w:val="Fuentedeprrafopredeter"/>
          <w:rFonts w:cs="Calibri Light" w:ascii="Calibri Light" w:hAnsi="Calibri Light"/>
          <w:sz w:val="24"/>
          <w:szCs w:val="24"/>
        </w:rPr>
        <w:t xml:space="preserve"> presentamos un balance general con los siguientes valores:</w:t>
      </w:r>
    </w:p>
    <w:tbl>
      <w:tblPr>
        <w:tblW w:w="8494" w:type="dxa"/>
        <w:jc w:val="left"/>
        <w:tblInd w:w="-5" w:type="dxa"/>
        <w:tblLayout w:type="fixed"/>
        <w:tblCellMar>
          <w:top w:w="0" w:type="dxa"/>
          <w:left w:w="108" w:type="dxa"/>
          <w:bottom w:w="0" w:type="dxa"/>
          <w:right w:w="108" w:type="dxa"/>
        </w:tblCellMar>
      </w:tblPr>
      <w:tblGrid>
        <w:gridCol w:w="4247"/>
        <w:gridCol w:w="4247"/>
      </w:tblGrid>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bCs/>
                <w:sz w:val="24"/>
                <w:szCs w:val="24"/>
              </w:rPr>
            </w:pPr>
            <w:r>
              <w:rPr>
                <w:rFonts w:cs="Calibri Light" w:ascii="Calibri Light" w:hAnsi="Calibri Light"/>
                <w:b/>
                <w:bCs/>
                <w:sz w:val="24"/>
                <w:szCs w:val="24"/>
              </w:rPr>
              <w:t>ACTIVOS</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cs="Calibri Light"/>
                <w:b/>
                <w:bCs/>
                <w:sz w:val="24"/>
                <w:szCs w:val="24"/>
              </w:rPr>
            </w:pPr>
            <w:r>
              <w:rPr>
                <w:rFonts w:cs="Calibri Light" w:ascii="Calibri Light" w:hAnsi="Calibri Light"/>
                <w:b/>
                <w:bCs/>
                <w:sz w:val="24"/>
                <w:szCs w:val="24"/>
              </w:rPr>
              <w:t>VALORES</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Activos Corrientes</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300,614,063.09</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Activos no Corrientes</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3,136,192,839.66</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Activos</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3,436,806,902.75</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Cuentas por Pagar a Corto Plazo</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45,530,419.2</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Cuentas por pagar a Largo Plazo</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158,990,463.27</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Pasivos</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204,520,582.47</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Patrimonio</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3,232,286,320.28</w:t>
            </w:r>
          </w:p>
        </w:tc>
      </w:tr>
      <w:tr>
        <w:trPr/>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Total, Pasivos y Patrimonio</w:t>
            </w:r>
          </w:p>
        </w:tc>
        <w:tc>
          <w:tcPr>
            <w:tcW w:w="4247"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rPr>
                <w:rFonts w:ascii="Calibri Light" w:hAnsi="Calibri Light" w:cs="Calibri Light"/>
                <w:sz w:val="24"/>
                <w:szCs w:val="24"/>
              </w:rPr>
            </w:pPr>
            <w:r>
              <w:rPr>
                <w:rFonts w:cs="Calibri Light" w:ascii="Calibri Light" w:hAnsi="Calibri Light"/>
                <w:sz w:val="24"/>
                <w:szCs w:val="24"/>
              </w:rPr>
              <w:t>3,436,806,902.75</w:t>
            </w:r>
          </w:p>
        </w:tc>
      </w:tr>
    </w:tbl>
    <w:p>
      <w:pPr>
        <w:pStyle w:val="Normal1"/>
        <w:suppressAutoHyphens w:val="false"/>
        <w:jc w:val="both"/>
        <w:rPr>
          <w:rFonts w:ascii="Calibri Light" w:hAnsi="Calibri Light" w:cs="Calibri Light"/>
          <w:sz w:val="24"/>
          <w:szCs w:val="24"/>
        </w:rPr>
      </w:pPr>
      <w:r>
        <w:rPr>
          <w:rFonts w:cs="Calibri Light" w:ascii="Calibri Light" w:hAnsi="Calibri Light"/>
          <w:sz w:val="24"/>
          <w:szCs w:val="24"/>
        </w:rPr>
        <w:t xml:space="preserve"> </w:t>
      </w:r>
    </w:p>
    <w:p>
      <w:pPr>
        <w:pStyle w:val="Normal1"/>
        <w:suppressAutoHyphens w:val="false"/>
        <w:rPr/>
      </w:pPr>
      <w:r>
        <w:rPr>
          <w:rStyle w:val="Fuentedeprrafopredeter"/>
          <w:rFonts w:eastAsia="Times New Roman" w:cs="Calibri Light" w:ascii="Calibri Light" w:hAnsi="Calibri Light"/>
          <w:b/>
          <w:bCs/>
          <w:kern w:val="0"/>
          <w:sz w:val="24"/>
          <w:szCs w:val="24"/>
          <w:lang w:eastAsia="es-ES"/>
        </w:rPr>
        <w:t>Mediante los Activos Fijos</w:t>
      </w:r>
      <w:r>
        <w:rPr>
          <w:rStyle w:val="Fuentedeprrafopredeter"/>
          <w:rFonts w:eastAsia="Times New Roman" w:cs="Calibri Light" w:ascii="Calibri Light" w:hAnsi="Calibri Light"/>
          <w:kern w:val="0"/>
          <w:sz w:val="24"/>
          <w:szCs w:val="24"/>
          <w:lang w:eastAsia="es-ES"/>
        </w:rPr>
        <w:t xml:space="preserve">, se remite mensualmente el reporte general de activos de la institución, debidamente registrados con código, descripción del bien, fecha de adquisición, valor del bien, depreciación y valor libros. </w:t>
      </w:r>
    </w:p>
    <w:p>
      <w:pPr>
        <w:pStyle w:val="Normal1"/>
        <w:suppressAutoHyphens w:val="false"/>
        <w:rPr>
          <w:rFonts w:ascii="Calibri Light" w:hAnsi="Calibri Light" w:eastAsia="Times New Roman" w:cs="Calibri Light"/>
          <w:kern w:val="0"/>
          <w:sz w:val="24"/>
          <w:szCs w:val="24"/>
          <w:lang w:eastAsia="es-ES"/>
        </w:rPr>
      </w:pPr>
      <w:r>
        <w:rPr>
          <w:rFonts w:eastAsia="Times New Roman" w:cs="Calibri Light" w:ascii="Calibri Light" w:hAnsi="Calibri Light"/>
          <w:kern w:val="0"/>
          <w:sz w:val="24"/>
          <w:szCs w:val="24"/>
          <w:lang w:eastAsia="es-ES"/>
        </w:rPr>
      </w:r>
    </w:p>
    <w:p>
      <w:pPr>
        <w:pStyle w:val="Normal1"/>
        <w:suppressAutoHyphens w:val="false"/>
        <w:rPr/>
      </w:pPr>
      <w:r>
        <w:rPr>
          <w:rStyle w:val="Fuentedeprrafopredeter"/>
          <w:rFonts w:eastAsia="Times New Roman" w:cs="Calibri Light" w:ascii="Calibri Light" w:hAnsi="Calibri Light"/>
          <w:b/>
          <w:bCs/>
          <w:kern w:val="0"/>
          <w:sz w:val="24"/>
          <w:szCs w:val="24"/>
          <w:lang w:eastAsia="es-ES"/>
        </w:rPr>
        <w:t>Mediante la División de Cobros</w:t>
      </w:r>
      <w:r>
        <w:rPr>
          <w:rStyle w:val="Fuentedeprrafopredeter"/>
          <w:rFonts w:eastAsia="Times New Roman" w:cs="Calibri Light" w:ascii="Calibri Light" w:hAnsi="Calibri Light"/>
          <w:kern w:val="0"/>
          <w:sz w:val="24"/>
          <w:szCs w:val="24"/>
          <w:lang w:eastAsia="es-ES"/>
        </w:rPr>
        <w:t xml:space="preserve">, se reporta ingresos de julio a septiembre por montos de: </w:t>
      </w:r>
    </w:p>
    <w:tbl>
      <w:tblPr>
        <w:tblW w:w="8494" w:type="dxa"/>
        <w:jc w:val="left"/>
        <w:tblInd w:w="-5" w:type="dxa"/>
        <w:tblLayout w:type="fixed"/>
        <w:tblCellMar>
          <w:top w:w="0" w:type="dxa"/>
          <w:left w:w="108" w:type="dxa"/>
          <w:bottom w:w="0" w:type="dxa"/>
          <w:right w:w="108" w:type="dxa"/>
        </w:tblCellMar>
      </w:tblPr>
      <w:tblGrid>
        <w:gridCol w:w="2831"/>
        <w:gridCol w:w="2831"/>
        <w:gridCol w:w="2832"/>
      </w:tblGrid>
      <w:tr>
        <w:trPr/>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Julio/Ingresos</w:t>
            </w:r>
          </w:p>
        </w:tc>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Agosto/Ingresos</w:t>
            </w:r>
          </w:p>
        </w:tc>
        <w:tc>
          <w:tcPr>
            <w:tcW w:w="2832"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Septiembre/Ingresos</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4,896,218.37</w:t>
            </w:r>
          </w:p>
        </w:tc>
        <w:tc>
          <w:tcPr>
            <w:tcW w:w="2831"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7,106,684.27</w:t>
            </w:r>
          </w:p>
        </w:tc>
        <w:tc>
          <w:tcPr>
            <w:tcW w:w="2832"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center"/>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29,259,555.82</w:t>
            </w:r>
          </w:p>
        </w:tc>
      </w:tr>
    </w:tbl>
    <w:p>
      <w:pPr>
        <w:pStyle w:val="Normal1"/>
        <w:suppressAutoHyphens w:val="false"/>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Total, de Ingresos Trimestre RD$ 41,262,458.46</w:t>
      </w:r>
    </w:p>
    <w:p>
      <w:pPr>
        <w:pStyle w:val="Normal1"/>
        <w:suppressAutoHyphens w:val="false"/>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r>
    </w:p>
    <w:p>
      <w:pPr>
        <w:pStyle w:val="Normal1"/>
        <w:suppressAutoHyphens w:val="false"/>
        <w:jc w:val="both"/>
        <w:rPr/>
      </w:pPr>
      <w:r>
        <w:rPr>
          <w:rStyle w:val="Fuentedeprrafopredeter"/>
          <w:rFonts w:eastAsia="Times New Roman" w:cs="Calibri Light" w:ascii="Calibri Light" w:hAnsi="Calibri Light"/>
          <w:b/>
          <w:bCs/>
          <w:color w:val="000000"/>
          <w:kern w:val="0"/>
          <w:sz w:val="24"/>
          <w:szCs w:val="24"/>
          <w:lang w:eastAsia="es-ES"/>
        </w:rPr>
        <w:t xml:space="preserve">Mediante la División de Presupuesto, </w:t>
      </w:r>
      <w:r>
        <w:rPr>
          <w:rStyle w:val="Fuentedeprrafopredeter"/>
          <w:rFonts w:eastAsia="Times New Roman" w:cs="Calibri Light" w:ascii="Calibri Light" w:hAnsi="Calibri Light"/>
          <w:color w:val="000000"/>
          <w:kern w:val="0"/>
          <w:sz w:val="24"/>
          <w:szCs w:val="24"/>
          <w:lang w:eastAsia="es-ES"/>
        </w:rPr>
        <w:t>presentamos la ejecución presupuestaria conforme lo establece la resolución No. 002-2021 que crea el Portal de Único de Transparencia.</w:t>
      </w:r>
    </w:p>
    <w:tbl>
      <w:tblPr>
        <w:tblW w:w="6370" w:type="dxa"/>
        <w:jc w:val="left"/>
        <w:tblInd w:w="-5" w:type="dxa"/>
        <w:tblLayout w:type="fixed"/>
        <w:tblCellMar>
          <w:top w:w="0" w:type="dxa"/>
          <w:left w:w="108" w:type="dxa"/>
          <w:bottom w:w="0" w:type="dxa"/>
          <w:right w:w="108" w:type="dxa"/>
        </w:tblCellMar>
      </w:tblPr>
      <w:tblGrid>
        <w:gridCol w:w="2123"/>
        <w:gridCol w:w="2123"/>
        <w:gridCol w:w="2124"/>
      </w:tblGrid>
      <w:tr>
        <w:trPr/>
        <w:tc>
          <w:tcPr>
            <w:tcW w:w="2123"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Julio</w:t>
            </w:r>
          </w:p>
        </w:tc>
        <w:tc>
          <w:tcPr>
            <w:tcW w:w="2123"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Agosto</w:t>
            </w:r>
          </w:p>
        </w:tc>
        <w:tc>
          <w:tcPr>
            <w:tcW w:w="2124"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Septiembre</w:t>
            </w:r>
          </w:p>
        </w:tc>
      </w:tr>
      <w:tr>
        <w:trPr/>
        <w:tc>
          <w:tcPr>
            <w:tcW w:w="2123"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72,462,073.54</w:t>
            </w:r>
          </w:p>
        </w:tc>
        <w:tc>
          <w:tcPr>
            <w:tcW w:w="2123"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76,190,882.14</w:t>
            </w:r>
          </w:p>
        </w:tc>
        <w:tc>
          <w:tcPr>
            <w:tcW w:w="2124"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color w:val="000000"/>
                <w:kern w:val="0"/>
                <w:sz w:val="24"/>
                <w:szCs w:val="24"/>
                <w:lang w:eastAsia="es-ES"/>
              </w:rPr>
            </w:pPr>
            <w:r>
              <w:rPr>
                <w:rFonts w:eastAsia="Times New Roman" w:cs="Calibri Light" w:ascii="Calibri Light" w:hAnsi="Calibri Light"/>
                <w:color w:val="000000"/>
                <w:kern w:val="0"/>
                <w:sz w:val="24"/>
                <w:szCs w:val="24"/>
                <w:lang w:eastAsia="es-ES"/>
              </w:rPr>
              <w:t>66,946,917.12</w:t>
            </w:r>
          </w:p>
        </w:tc>
      </w:tr>
      <w:tr>
        <w:trPr/>
        <w:tc>
          <w:tcPr>
            <w:tcW w:w="2123"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r>
          </w:p>
        </w:tc>
        <w:tc>
          <w:tcPr>
            <w:tcW w:w="2123"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r>
          </w:p>
        </w:tc>
        <w:tc>
          <w:tcPr>
            <w:tcW w:w="2124" w:type="dxa"/>
            <w:tcBorders>
              <w:top w:val="single" w:sz="4" w:space="0" w:color="000000"/>
              <w:left w:val="single" w:sz="4" w:space="0" w:color="000000"/>
              <w:bottom w:val="single" w:sz="4" w:space="0" w:color="000000"/>
              <w:right w:val="single" w:sz="4" w:space="0" w:color="000000"/>
            </w:tcBorders>
          </w:tcPr>
          <w:p>
            <w:pPr>
              <w:pStyle w:val="Normal1"/>
              <w:suppressAutoHyphens w:val="false"/>
              <w:spacing w:lineRule="auto" w:line="240" w:before="0" w:after="0"/>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r>
          </w:p>
        </w:tc>
      </w:tr>
    </w:tbl>
    <w:p>
      <w:pPr>
        <w:pStyle w:val="Normal1"/>
        <w:suppressAutoHyphens w:val="false"/>
        <w:jc w:val="both"/>
        <w:rPr>
          <w:rFonts w:ascii="Calibri Light" w:hAnsi="Calibri Light" w:eastAsia="Times New Roman" w:cs="Calibri Light"/>
          <w:b/>
          <w:bCs/>
          <w:color w:val="000000"/>
          <w:kern w:val="0"/>
          <w:sz w:val="24"/>
          <w:szCs w:val="24"/>
          <w:lang w:eastAsia="es-ES"/>
        </w:rPr>
      </w:pPr>
      <w:r>
        <w:rPr>
          <w:rFonts w:eastAsia="Times New Roman" w:cs="Calibri Light" w:ascii="Calibri Light" w:hAnsi="Calibri Light"/>
          <w:b/>
          <w:bCs/>
          <w:color w:val="000000"/>
          <w:kern w:val="0"/>
          <w:sz w:val="24"/>
          <w:szCs w:val="24"/>
          <w:lang w:eastAsia="es-ES"/>
        </w:rPr>
        <w:t xml:space="preserve"> </w:t>
      </w:r>
      <w:r>
        <w:rPr>
          <w:rFonts w:eastAsia="Times New Roman" w:cs="Calibri Light" w:ascii="Calibri Light" w:hAnsi="Calibri Light"/>
          <w:b/>
          <w:bCs/>
          <w:color w:val="000000"/>
          <w:kern w:val="0"/>
          <w:sz w:val="24"/>
          <w:szCs w:val="24"/>
          <w:lang w:eastAsia="es-ES"/>
        </w:rPr>
        <w:t>Total, Ejecutado Trimestre RD$ 215,599,872.8</w:t>
      </w:r>
    </w:p>
    <w:p>
      <w:pPr>
        <w:pStyle w:val="Normal1"/>
        <w:jc w:val="both"/>
        <w:rPr>
          <w:rFonts w:ascii="Calibri Light" w:hAnsi="Calibri Light" w:cs="Calibri Light"/>
          <w:b/>
          <w:bCs/>
          <w:sz w:val="24"/>
          <w:szCs w:val="24"/>
        </w:rPr>
      </w:pPr>
      <w:r>
        <w:rPr>
          <w:rFonts w:cs="Calibri Light" w:ascii="Calibri Light" w:hAnsi="Calibri Light"/>
          <w:b/>
          <w:bCs/>
          <w:sz w:val="24"/>
          <w:szCs w:val="24"/>
        </w:rPr>
      </w:r>
    </w:p>
    <w:p>
      <w:pPr>
        <w:pStyle w:val="Normal1"/>
        <w:jc w:val="both"/>
        <w:rPr/>
      </w:pPr>
      <w:r>
        <w:rPr>
          <w:rStyle w:val="Fuentedeprrafopredeter"/>
          <w:rFonts w:cs="Calibri Light" w:ascii="Calibri Light" w:hAnsi="Calibri Light"/>
          <w:b/>
          <w:bCs/>
          <w:sz w:val="24"/>
          <w:szCs w:val="24"/>
        </w:rPr>
        <w:t>Departamento de Comunicaciones</w:t>
      </w:r>
      <w:r>
        <w:rPr>
          <w:rStyle w:val="Fuentedeprrafopredeter"/>
          <w:rFonts w:cs="Calibri Light" w:ascii="Calibri Light" w:hAnsi="Calibri Light"/>
          <w:sz w:val="24"/>
          <w:szCs w:val="24"/>
        </w:rPr>
        <w:t>, esta dirección mantiene la actividad de revisión y actualización del plan de redes sociales, logrando al 100% y manteniendo la certificación en la última versión realizada. Mediante el servicio de publicidad institucional, se ha completado el 100% de la meta, además de los requerimientos de publicidad solicitadas.</w:t>
      </w:r>
    </w:p>
    <w:p>
      <w:pPr>
        <w:pStyle w:val="Normal1"/>
        <w:jc w:val="both"/>
        <w:rPr>
          <w:rFonts w:ascii="Calibri Light" w:hAnsi="Calibri Light" w:cs="Calibri Light"/>
          <w:sz w:val="24"/>
          <w:szCs w:val="24"/>
        </w:rPr>
      </w:pPr>
      <w:r>
        <w:rPr>
          <w:rFonts w:cs="Calibri Light" w:ascii="Calibri Light" w:hAnsi="Calibri Light"/>
          <w:sz w:val="24"/>
          <w:szCs w:val="24"/>
        </w:rPr>
        <w:t>A través de la campaña de gestión de cambio se contempla las capacitaciones sobre temas de gran importancia como la Lactancia Materna y la Salud Mental, las cuales cubren los requerimientos del POA.  De igual forma se continúa recolectado las informaciones de las redes sociales.</w:t>
      </w:r>
    </w:p>
    <w:p>
      <w:pPr>
        <w:pStyle w:val="Normal1"/>
        <w:spacing w:lineRule="auto" w:line="240" w:before="100" w:after="100"/>
        <w:rPr/>
      </w:pPr>
      <w:r>
        <w:rPr>
          <w:rStyle w:val="Fuentedeprrafopredeter"/>
          <w:rFonts w:eastAsia="Times New Roman" w:ascii="Times New Roman" w:hAnsi="Times New Roman"/>
          <w:b/>
          <w:bCs/>
          <w:sz w:val="24"/>
          <w:szCs w:val="24"/>
        </w:rPr>
        <w:t xml:space="preserve">Dirección de Tecnología de la Información y Comunicación, para este trimestre realizo las siguientes actividades: </w:t>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Prrafodelista"/>
        <w:numPr>
          <w:ilvl w:val="0"/>
          <w:numId w:val="6"/>
        </w:numPr>
        <w:jc w:val="both"/>
        <w:rPr>
          <w:rFonts w:ascii="Calibri Light" w:hAnsi="Calibri Light" w:cs="Calibri Light"/>
          <w:b/>
          <w:bCs/>
          <w:sz w:val="24"/>
          <w:szCs w:val="24"/>
        </w:rPr>
      </w:pPr>
      <w:r>
        <w:rPr>
          <w:rFonts w:cs="Calibri Light" w:ascii="Calibri Light" w:hAnsi="Calibri Light"/>
          <w:b/>
          <w:bCs/>
          <w:sz w:val="24"/>
          <w:szCs w:val="24"/>
        </w:rPr>
        <w:t xml:space="preserve">Instalación de Cableado de RED: </w:t>
      </w:r>
    </w:p>
    <w:p>
      <w:pPr>
        <w:pStyle w:val="Prrafodelista"/>
        <w:jc w:val="both"/>
        <w:rPr>
          <w:rFonts w:ascii="Calibri Light" w:hAnsi="Calibri Light" w:cs="Calibri Light"/>
          <w:b/>
          <w:bCs/>
          <w:sz w:val="24"/>
          <w:szCs w:val="24"/>
        </w:rPr>
      </w:pPr>
      <w:r>
        <w:rPr>
          <w:rFonts w:cs="Calibri Light" w:ascii="Calibri Light" w:hAnsi="Calibri Light"/>
          <w:b/>
          <w:bCs/>
          <w:sz w:val="24"/>
          <w:szCs w:val="24"/>
        </w:rPr>
      </w:r>
    </w:p>
    <w:p>
      <w:pPr>
        <w:pStyle w:val="Prrafodelista"/>
        <w:spacing w:lineRule="auto" w:line="240"/>
        <w:jc w:val="both"/>
        <w:rPr>
          <w:rFonts w:ascii="Calibri Light" w:hAnsi="Calibri Light" w:cs="Calibri Light"/>
          <w:sz w:val="24"/>
          <w:szCs w:val="24"/>
        </w:rPr>
      </w:pPr>
      <w:r>
        <w:rPr>
          <w:rFonts w:cs="Calibri Light" w:ascii="Calibri Light" w:hAnsi="Calibri Light"/>
          <w:sz w:val="24"/>
          <w:szCs w:val="24"/>
        </w:rPr>
        <w:t>El cableado de data y conexión de los departamentos afectado de conexiones.</w:t>
      </w:r>
    </w:p>
    <w:p>
      <w:pPr>
        <w:pStyle w:val="Prrafodelista"/>
        <w:spacing w:lineRule="auto" w:line="240"/>
        <w:jc w:val="both"/>
        <w:rPr>
          <w:rFonts w:ascii="Calibri Light" w:hAnsi="Calibri Light" w:cs="Calibri Light"/>
          <w:sz w:val="24"/>
          <w:szCs w:val="24"/>
        </w:rPr>
      </w:pPr>
      <w:r>
        <w:rPr>
          <w:rFonts w:cs="Calibri Light" w:ascii="Calibri Light" w:hAnsi="Calibri Light"/>
          <w:sz w:val="24"/>
          <w:szCs w:val="24"/>
        </w:rPr>
        <w:t>Las instalaciones de cableado de red son fundamentales para establecer conexiones estables y eficientes en una infraestructura de comunicación. Este proceso incluye el tendido de cables, la clasificación de puntos de red, y la configuración adecuada para garantizar el flujo óptimo de datos entre servidores y la PC.</w:t>
      </w:r>
    </w:p>
    <w:p>
      <w:pPr>
        <w:pStyle w:val="Prrafodelista"/>
        <w:spacing w:lineRule="auto" w:line="240"/>
        <w:jc w:val="both"/>
        <w:rPr>
          <w:rFonts w:ascii="Calibri Light" w:hAnsi="Calibri Light" w:cs="Calibri Light"/>
          <w:sz w:val="24"/>
          <w:szCs w:val="24"/>
        </w:rPr>
      </w:pPr>
      <w:r>
        <w:rPr>
          <w:rFonts w:cs="Calibri Light" w:ascii="Calibri Light" w:hAnsi="Calibri Light"/>
          <w:sz w:val="24"/>
          <w:szCs w:val="24"/>
        </w:rPr>
      </w:r>
    </w:p>
    <w:p>
      <w:pPr>
        <w:pStyle w:val="Prrafodelista"/>
        <w:numPr>
          <w:ilvl w:val="0"/>
          <w:numId w:val="7"/>
        </w:numPr>
        <w:suppressAutoHyphens w:val="false"/>
        <w:spacing w:lineRule="auto" w:line="240"/>
        <w:jc w:val="both"/>
        <w:textAlignment w:val="auto"/>
        <w:rPr>
          <w:rFonts w:ascii="Times New Roman" w:hAnsi="Times New Roman"/>
          <w:b/>
          <w:sz w:val="24"/>
          <w:szCs w:val="24"/>
        </w:rPr>
      </w:pPr>
      <w:r>
        <w:rPr>
          <w:rFonts w:ascii="Times New Roman" w:hAnsi="Times New Roman"/>
          <w:b/>
          <w:sz w:val="24"/>
          <w:szCs w:val="24"/>
        </w:rPr>
        <w:t xml:space="preserve">Soporte Técnico a Usuarios: </w:t>
      </w:r>
    </w:p>
    <w:p>
      <w:pPr>
        <w:pStyle w:val="Prrafodelista"/>
        <w:spacing w:lineRule="auto" w:line="240"/>
        <w:jc w:val="both"/>
        <w:rPr>
          <w:rFonts w:ascii="Calibri Light" w:hAnsi="Calibri Light" w:cs="Calibri Light"/>
          <w:sz w:val="24"/>
          <w:szCs w:val="24"/>
        </w:rPr>
      </w:pPr>
      <w:r>
        <w:rPr>
          <w:rFonts w:cs="Calibri Light" w:ascii="Calibri Light" w:hAnsi="Calibri Light"/>
          <w:sz w:val="24"/>
          <w:szCs w:val="24"/>
        </w:rPr>
      </w:r>
    </w:p>
    <w:p>
      <w:pPr>
        <w:pStyle w:val="Prrafodelista"/>
        <w:spacing w:lineRule="auto" w:line="240"/>
        <w:jc w:val="both"/>
        <w:rPr>
          <w:rFonts w:ascii="Calibri Light" w:hAnsi="Calibri Light" w:cs="Calibri Light"/>
          <w:sz w:val="24"/>
          <w:szCs w:val="24"/>
        </w:rPr>
      </w:pPr>
      <w:r>
        <w:rPr>
          <w:rFonts w:cs="Calibri Light" w:ascii="Calibri Light" w:hAnsi="Calibri Light"/>
          <w:sz w:val="24"/>
          <w:szCs w:val="24"/>
        </w:rPr>
        <w:t>Se realizaron reparaciones a equipos clave, incluyendo PC, impresoras y escáneres, con el objetivo de mantener la operatividad y eficiencia de los recursos tecnológicos. Estas intervenciones incluyeron la solución de fallos de hardware, optimización del rendimiento y reemplazo de componentes defectuosos. Las reparaciones aseguraron la continuidad en los procesos diarios, minimizando el tiempo de inactividad y garantizando la disponibilidad de los equipos críticos para las actividades de la institución</w:t>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Prrafodelista"/>
        <w:numPr>
          <w:ilvl w:val="0"/>
          <w:numId w:val="7"/>
        </w:numPr>
        <w:suppressAutoHyphens w:val="false"/>
        <w:spacing w:lineRule="auto" w:line="240"/>
        <w:jc w:val="both"/>
        <w:textAlignment w:val="auto"/>
        <w:rPr>
          <w:rFonts w:ascii="Times New Roman" w:hAnsi="Times New Roman"/>
          <w:b/>
          <w:sz w:val="24"/>
          <w:szCs w:val="24"/>
        </w:rPr>
      </w:pPr>
      <w:r>
        <w:rPr>
          <w:rFonts w:ascii="Times New Roman" w:hAnsi="Times New Roman"/>
          <w:b/>
          <w:sz w:val="24"/>
          <w:szCs w:val="24"/>
        </w:rPr>
        <w:t>Inventario de Equipos:</w:t>
      </w:r>
    </w:p>
    <w:p>
      <w:pPr>
        <w:pStyle w:val="Prrafodelista"/>
        <w:spacing w:lineRule="auto" w:line="240"/>
        <w:jc w:val="both"/>
        <w:rPr>
          <w:rFonts w:ascii="Calibri Light" w:hAnsi="Calibri Light" w:cs="Calibri Light"/>
          <w:sz w:val="24"/>
          <w:szCs w:val="24"/>
        </w:rPr>
      </w:pPr>
      <w:r>
        <w:rPr>
          <w:rFonts w:cs="Calibri Light" w:ascii="Calibri Light" w:hAnsi="Calibri Light"/>
          <w:sz w:val="24"/>
          <w:szCs w:val="24"/>
        </w:rPr>
        <w:t>En esta Dirección de TIC, contamos con un inventario actualizado de los equipos tecnológicos asignados a las distintas áreas de la institución. Este control permite gestionar de manera eficiente la ubicación, estado y uso de cada equipo, facilitando su mantenimiento y actualización. Un inventario bien administrado optimizamos la planificación de adquisiciones futuras y garantizamos la continuidad operativa al identificar de manera oportuna las necesidades de reemplazo o reparación. Se realizó las instalaciones de las computadoras del departamento de Subasta precedentes del edificio de oficinas FONPER.</w:t>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numPr>
          <w:ilvl w:val="0"/>
          <w:numId w:val="8"/>
        </w:numPr>
        <w:suppressAutoHyphens w:val="false"/>
        <w:spacing w:lineRule="auto" w:line="240"/>
        <w:jc w:val="both"/>
        <w:textAlignment w:val="auto"/>
        <w:rPr/>
      </w:pPr>
      <w:r>
        <w:rPr>
          <w:rStyle w:val="Fuentedeprrafopredeter"/>
          <w:rFonts w:ascii="Times New Roman" w:hAnsi="Times New Roman"/>
          <w:b/>
          <w:bCs/>
          <w:sz w:val="24"/>
          <w:szCs w:val="24"/>
          <w:lang w:val="es-DO"/>
        </w:rPr>
        <w:t>Web Master</w:t>
      </w:r>
      <w:r>
        <w:rPr>
          <w:rStyle w:val="Fuentedeprrafopredeter"/>
          <w:rFonts w:ascii="Times New Roman" w:hAnsi="Times New Roman"/>
          <w:sz w:val="24"/>
          <w:szCs w:val="24"/>
          <w:lang w:val="es-DO"/>
        </w:rPr>
        <w:t>: Optimización del Portal de Transparencia y procesos de compras.</w:t>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rFonts w:ascii="Calibri Light" w:hAnsi="Calibri Light" w:cs="Calibri Light"/>
          <w:sz w:val="24"/>
          <w:szCs w:val="24"/>
        </w:rPr>
      </w:pPr>
      <w:r>
        <w:rPr>
          <w:rFonts w:cs="Calibri Light" w:ascii="Calibri Light" w:hAnsi="Calibri Light"/>
          <w:sz w:val="24"/>
          <w:szCs w:val="24"/>
        </w:rPr>
      </w:r>
    </w:p>
    <w:tbl>
      <w:tblPr>
        <w:tblW w:w="4850" w:type="pct"/>
        <w:jc w:val="left"/>
        <w:tblInd w:w="0" w:type="dxa"/>
        <w:tblLayout w:type="fixed"/>
        <w:tblCellMar>
          <w:top w:w="0" w:type="dxa"/>
          <w:left w:w="108" w:type="dxa"/>
          <w:bottom w:w="0" w:type="dxa"/>
          <w:right w:w="108" w:type="dxa"/>
        </w:tblCellMar>
      </w:tblPr>
      <w:tblGrid>
        <w:gridCol w:w="1991"/>
        <w:gridCol w:w="3128"/>
        <w:gridCol w:w="3129"/>
      </w:tblGrid>
      <w:tr>
        <w:trPr>
          <w:trHeight w:val="289" w:hRule="atLeast"/>
        </w:trPr>
        <w:tc>
          <w:tcPr>
            <w:tcW w:w="1991" w:type="dxa"/>
            <w:tcBorders>
              <w:bottom w:val="single" w:sz="4" w:space="0" w:color="000000"/>
              <w:right w:val="single" w:sz="4" w:space="0" w:color="000000"/>
            </w:tcBorders>
          </w:tcPr>
          <w:p>
            <w:pPr>
              <w:pStyle w:val="Normal1"/>
              <w:tabs>
                <w:tab w:val="clear" w:pos="708"/>
                <w:tab w:val="left" w:pos="470" w:leader="none"/>
              </w:tabs>
              <w:spacing w:lineRule="auto" w:line="240" w:before="0" w:after="0"/>
              <w:textAlignment w:val="auto"/>
              <w:rPr/>
            </w:pPr>
            <w:r>
              <w:rPr>
                <w:rStyle w:val="Fuentedeprrafopredeter"/>
                <w:rFonts w:eastAsia="Times New Roman" w:ascii="Times New Roman" w:hAnsi="Times New Roman"/>
                <w:b/>
                <w:kern w:val="0"/>
                <w:sz w:val="20"/>
                <w:szCs w:val="20"/>
                <w:lang w:val="es-DO" w:eastAsia="es-DO"/>
              </w:rPr>
              <w:tab/>
            </w:r>
          </w:p>
        </w:tc>
        <w:tc>
          <w:tcPr>
            <w:tcW w:w="3128"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jc w:val="center"/>
              <w:textAlignment w:val="auto"/>
              <w:rPr/>
            </w:pPr>
            <w:r>
              <w:rPr>
                <w:rStyle w:val="Fuentedeprrafopredeter"/>
                <w:rFonts w:eastAsia="Times New Roman" w:ascii="Times New Roman" w:hAnsi="Times New Roman"/>
                <w:b/>
                <w:kern w:val="0"/>
                <w:sz w:val="20"/>
                <w:szCs w:val="20"/>
                <w:lang w:val="es-DO" w:eastAsia="es-DO"/>
              </w:rPr>
              <w:t>Elaborado</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jc w:val="center"/>
              <w:textAlignment w:val="auto"/>
              <w:rPr/>
            </w:pPr>
            <w:r>
              <w:rPr>
                <w:rStyle w:val="Fuentedeprrafopredeter"/>
                <w:rFonts w:eastAsia="Times New Roman" w:ascii="Times New Roman" w:hAnsi="Times New Roman"/>
                <w:b/>
                <w:kern w:val="0"/>
                <w:sz w:val="20"/>
                <w:szCs w:val="20"/>
                <w:lang w:val="es-DO" w:eastAsia="es-DO"/>
              </w:rPr>
              <w:t>Aprobado</w:t>
            </w:r>
          </w:p>
        </w:tc>
      </w:tr>
      <w:tr>
        <w:trPr>
          <w:trHeight w:val="388" w:hRule="atLeast"/>
        </w:trPr>
        <w:tc>
          <w:tcPr>
            <w:tcW w:w="1991"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textAlignment w:val="auto"/>
              <w:rPr/>
            </w:pPr>
            <w:r>
              <w:rPr>
                <w:rStyle w:val="Fuentedeprrafopredeter"/>
                <w:rFonts w:eastAsia="Times New Roman" w:ascii="Times New Roman" w:hAnsi="Times New Roman"/>
                <w:kern w:val="0"/>
                <w:sz w:val="20"/>
                <w:szCs w:val="20"/>
                <w:lang w:val="es-DO" w:eastAsia="es-DO"/>
              </w:rPr>
              <w:t>Nombre</w:t>
            </w:r>
          </w:p>
        </w:tc>
        <w:tc>
          <w:tcPr>
            <w:tcW w:w="3128"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0"/>
              <w:jc w:val="center"/>
              <w:textAlignment w:val="auto"/>
              <w:rPr>
                <w:rFonts w:ascii="Times New Roman" w:hAnsi="Times New Roman" w:eastAsia="Times New Roman"/>
                <w:sz w:val="20"/>
                <w:szCs w:val="20"/>
                <w:lang w:val="es-DO" w:eastAsia="es-DO"/>
              </w:rPr>
            </w:pPr>
            <w:r>
              <w:rPr>
                <w:rFonts w:eastAsia="Times New Roman" w:ascii="Times New Roman" w:hAnsi="Times New Roman"/>
                <w:sz w:val="20"/>
                <w:szCs w:val="20"/>
                <w:lang w:val="es-DO" w:eastAsia="es-DO"/>
              </w:rPr>
              <w:t>Yenys B. Vargas Mateo</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jc w:val="center"/>
              <w:textAlignment w:val="auto"/>
              <w:rPr>
                <w:rFonts w:ascii="Times New Roman" w:hAnsi="Times New Roman" w:eastAsia="Times New Roman"/>
                <w:sz w:val="20"/>
                <w:szCs w:val="20"/>
                <w:lang w:val="es-DO" w:eastAsia="es-DO"/>
              </w:rPr>
            </w:pPr>
            <w:r>
              <w:rPr>
                <w:rFonts w:eastAsia="Times New Roman" w:ascii="Times New Roman" w:hAnsi="Times New Roman"/>
                <w:sz w:val="20"/>
                <w:szCs w:val="20"/>
                <w:lang w:val="es-DO" w:eastAsia="es-DO"/>
              </w:rPr>
              <w:t xml:space="preserve">Carlos G. Valdez Reyes </w:t>
            </w:r>
          </w:p>
        </w:tc>
      </w:tr>
      <w:tr>
        <w:trPr>
          <w:trHeight w:val="580" w:hRule="atLeast"/>
        </w:trPr>
        <w:tc>
          <w:tcPr>
            <w:tcW w:w="1991"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textAlignment w:val="auto"/>
              <w:rPr/>
            </w:pPr>
            <w:r>
              <w:rPr>
                <w:rStyle w:val="Fuentedeprrafopredeter"/>
                <w:rFonts w:eastAsia="Times New Roman" w:ascii="Times New Roman" w:hAnsi="Times New Roman"/>
                <w:kern w:val="0"/>
                <w:sz w:val="20"/>
                <w:szCs w:val="20"/>
                <w:lang w:val="es-DO" w:eastAsia="es-DO"/>
              </w:rPr>
              <w:t>Cargo</w:t>
            </w:r>
          </w:p>
        </w:tc>
        <w:tc>
          <w:tcPr>
            <w:tcW w:w="3128"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0"/>
              <w:jc w:val="center"/>
              <w:textAlignment w:val="auto"/>
              <w:rPr>
                <w:rFonts w:ascii="Times New Roman" w:hAnsi="Times New Roman" w:eastAsia="Times New Roman"/>
                <w:sz w:val="20"/>
                <w:szCs w:val="20"/>
                <w:lang w:val="es-DO" w:eastAsia="es-DO"/>
              </w:rPr>
            </w:pPr>
            <w:r>
              <w:rPr>
                <w:rFonts w:eastAsia="Times New Roman" w:ascii="Times New Roman" w:hAnsi="Times New Roman"/>
                <w:sz w:val="20"/>
                <w:szCs w:val="20"/>
                <w:lang w:val="es-DO" w:eastAsia="es-DO"/>
              </w:rPr>
            </w:r>
          </w:p>
          <w:p>
            <w:pPr>
              <w:pStyle w:val="Normal1"/>
              <w:spacing w:lineRule="auto" w:line="240" w:before="0" w:after="0"/>
              <w:jc w:val="center"/>
              <w:textAlignment w:val="auto"/>
              <w:rPr>
                <w:rFonts w:ascii="Times New Roman" w:hAnsi="Times New Roman" w:eastAsia="Times New Roman"/>
                <w:sz w:val="20"/>
                <w:szCs w:val="20"/>
                <w:lang w:val="es-DO" w:eastAsia="es-DO"/>
              </w:rPr>
            </w:pPr>
            <w:r>
              <w:rPr>
                <w:rFonts w:eastAsia="Times New Roman" w:ascii="Times New Roman" w:hAnsi="Times New Roman"/>
                <w:sz w:val="20"/>
                <w:szCs w:val="20"/>
                <w:lang w:val="es-DO" w:eastAsia="es-DO"/>
              </w:rPr>
              <w:t xml:space="preserve">Periodista </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jc w:val="center"/>
              <w:textAlignment w:val="auto"/>
              <w:rPr/>
            </w:pPr>
            <w:r>
              <w:rPr>
                <w:rStyle w:val="Fuentedeprrafopredeter"/>
                <w:rFonts w:eastAsia="Times New Roman" w:ascii="Times New Roman" w:hAnsi="Times New Roman"/>
                <w:kern w:val="0"/>
                <w:sz w:val="20"/>
                <w:szCs w:val="20"/>
                <w:lang w:val="es-DO" w:eastAsia="es-DO"/>
              </w:rPr>
              <w:t xml:space="preserve">Encargado de Planificación  </w:t>
            </w:r>
          </w:p>
        </w:tc>
      </w:tr>
      <w:tr>
        <w:trPr>
          <w:trHeight w:val="711" w:hRule="atLeast"/>
        </w:trPr>
        <w:tc>
          <w:tcPr>
            <w:tcW w:w="1991"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textAlignment w:val="auto"/>
              <w:rPr/>
            </w:pPr>
            <w:r>
              <w:rPr>
                <w:rStyle w:val="Fuentedeprrafopredeter"/>
                <w:rFonts w:eastAsia="Times New Roman" w:ascii="Times New Roman" w:hAnsi="Times New Roman"/>
                <w:kern w:val="0"/>
                <w:sz w:val="20"/>
                <w:szCs w:val="20"/>
                <w:lang w:val="es-DO" w:eastAsia="es-DO"/>
              </w:rPr>
              <w:t>Fecha</w:t>
            </w:r>
          </w:p>
        </w:tc>
        <w:tc>
          <w:tcPr>
            <w:tcW w:w="3128"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jc w:val="center"/>
              <w:textAlignment w:val="auto"/>
              <w:rPr/>
            </w:pPr>
            <w:r>
              <w:rPr>
                <w:rStyle w:val="Fuentedeprrafopredeter"/>
                <w:rFonts w:eastAsia="Times New Roman" w:ascii="Times New Roman" w:hAnsi="Times New Roman"/>
                <w:kern w:val="0"/>
                <w:sz w:val="20"/>
                <w:szCs w:val="20"/>
                <w:lang w:val="es-DO" w:eastAsia="es-DO"/>
              </w:rPr>
              <w:t>Octubre 2024</w:t>
            </w:r>
          </w:p>
        </w:tc>
        <w:tc>
          <w:tcPr>
            <w:tcW w:w="312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jc w:val="center"/>
              <w:textAlignment w:val="auto"/>
              <w:rPr/>
            </w:pPr>
            <w:r>
              <w:rPr>
                <w:rStyle w:val="Fuentedeprrafopredeter"/>
                <w:rFonts w:eastAsia="Times New Roman" w:ascii="Times New Roman" w:hAnsi="Times New Roman"/>
                <w:kern w:val="0"/>
                <w:sz w:val="20"/>
                <w:szCs w:val="20"/>
                <w:lang w:val="es-DO" w:eastAsia="es-DO"/>
              </w:rPr>
              <w:t>Octubre 2024</w:t>
            </w:r>
          </w:p>
        </w:tc>
      </w:tr>
      <w:tr>
        <w:trPr>
          <w:trHeight w:val="1855" w:hRule="atLeast"/>
        </w:trPr>
        <w:tc>
          <w:tcPr>
            <w:tcW w:w="1991"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40" w:before="0" w:after="0"/>
              <w:textAlignment w:val="auto"/>
              <w:rPr/>
            </w:pPr>
            <w:r>
              <w:rPr>
                <w:rStyle w:val="Fuentedeprrafopredeter"/>
                <w:rFonts w:eastAsia="Times New Roman" w:ascii="Times New Roman" w:hAnsi="Times New Roman"/>
                <w:kern w:val="0"/>
                <w:sz w:val="20"/>
                <w:szCs w:val="20"/>
                <w:lang w:val="es-DO" w:eastAsia="es-DO"/>
              </w:rPr>
              <w:t>Firma</w:t>
            </w:r>
          </w:p>
        </w:tc>
        <w:tc>
          <w:tcPr>
            <w:tcW w:w="3128"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0"/>
              <w:jc w:val="center"/>
              <w:textAlignment w:val="auto"/>
              <w:rPr>
                <w:rFonts w:ascii="Times New Roman" w:hAnsi="Times New Roman" w:eastAsia="Times New Roman"/>
                <w:sz w:val="20"/>
                <w:szCs w:val="20"/>
                <w:lang w:val="es-DO" w:eastAsia="es-DO"/>
              </w:rPr>
            </w:pPr>
            <w:r>
              <w:rPr>
                <w:rFonts w:eastAsia="Times New Roman" w:ascii="Times New Roman" w:hAnsi="Times New Roman"/>
                <w:sz w:val="20"/>
                <w:szCs w:val="20"/>
                <w:lang w:val="es-DO" w:eastAsia="es-DO"/>
              </w:rPr>
            </w:r>
          </w:p>
        </w:tc>
        <w:tc>
          <w:tcPr>
            <w:tcW w:w="3129" w:type="dxa"/>
            <w:tcBorders>
              <w:top w:val="single" w:sz="4" w:space="0" w:color="000000"/>
              <w:left w:val="single" w:sz="4" w:space="0" w:color="000000"/>
              <w:bottom w:val="single" w:sz="4" w:space="0" w:color="000000"/>
              <w:right w:val="single" w:sz="4" w:space="0" w:color="000000"/>
            </w:tcBorders>
          </w:tcPr>
          <w:p>
            <w:pPr>
              <w:pStyle w:val="Normal1"/>
              <w:spacing w:lineRule="auto" w:line="240" w:before="0" w:after="0"/>
              <w:textAlignment w:val="auto"/>
              <w:rPr>
                <w:rFonts w:ascii="Times New Roman" w:hAnsi="Times New Roman" w:eastAsia="Times New Roman"/>
                <w:sz w:val="20"/>
                <w:szCs w:val="20"/>
                <w:lang w:val="es-DO" w:eastAsia="es-DO"/>
              </w:rPr>
            </w:pPr>
            <w:r>
              <w:rPr>
                <w:rFonts w:eastAsia="Times New Roman" w:ascii="Times New Roman" w:hAnsi="Times New Roman"/>
                <w:sz w:val="20"/>
                <w:szCs w:val="20"/>
                <w:lang w:val="es-DO" w:eastAsia="es-DO"/>
              </w:rPr>
            </w:r>
          </w:p>
        </w:tc>
      </w:tr>
    </w:tbl>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jc w:val="both"/>
        <w:rPr>
          <w:rFonts w:ascii="Calibri Light" w:hAnsi="Calibri Light" w:cs="Calibri Light"/>
          <w:sz w:val="24"/>
          <w:szCs w:val="24"/>
        </w:rPr>
      </w:pPr>
      <w:r>
        <w:rPr>
          <w:rFonts w:cs="Calibri Light" w:ascii="Calibri Light" w:hAnsi="Calibri Light"/>
          <w:sz w:val="24"/>
          <w:szCs w:val="24"/>
        </w:rPr>
      </w:r>
    </w:p>
    <w:p>
      <w:pPr>
        <w:pStyle w:val="Normal1"/>
        <w:spacing w:before="0" w:after="0"/>
        <w:jc w:val="both"/>
        <w:rPr/>
      </w:pPr>
      <w:r>
        <w:rPr/>
      </w:r>
    </w:p>
    <w:sectPr>
      <w:type w:val="nextPage"/>
      <w:pgSz w:w="11906" w:h="16838"/>
      <w:pgMar w:left="1701" w:right="1701" w:gutter="0" w:header="0" w:top="1417" w:footer="0" w:bottom="1417"/>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 w:name="Calibri Light">
    <w:charset w:val="01"/>
    <w:family w:val="swiss"/>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kern w:val="2"/>
        <w:sz w:val="22"/>
        <w:szCs w:val="22"/>
        <w:lang w:val="es-ES" w:eastAsia="en-US" w:bidi="ar-SA"/>
      </w:rPr>
    </w:rPrDefault>
    <w:pPrDefault>
      <w:pPr>
        <w:widowControl/>
        <w:suppressAutoHyphens w:val="false"/>
        <w:textAlignment w:val="baseline"/>
      </w:pPr>
    </w:pPrDefault>
  </w:docDefaults>
  <w:style w:type="paragraph" w:styleId="Normal">
    <w:name w:val="Normal"/>
    <w:qFormat/>
    <w:pPr>
      <w:keepNext w:val="false"/>
      <w:keepLines w:val="false"/>
      <w:pageBreakBefore w:val="false"/>
      <w:widowControl/>
      <w:pBdr/>
      <w:shd w:fill="auto" w:val="clear"/>
      <w:kinsoku w:val="true"/>
      <w:overflowPunct w:val="true"/>
      <w:autoSpaceDE w:val="true"/>
      <w:bidi w:val="0"/>
      <w:snapToGrid w:val="true"/>
      <w:spacing w:lineRule="auto" w:line="240" w:before="0" w:after="160"/>
      <w:jc w:val="left"/>
      <w:textAlignment w:val="baseline"/>
    </w:pPr>
    <w:rPr>
      <w:rFonts w:ascii="Calibri" w:hAnsi="Calibri" w:eastAsia="Calibri"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2"/>
      <w:sz w:val="22"/>
      <w:szCs w:val="22"/>
      <w:u w:val="none"/>
      <w:shd w:fill="auto" w:val="clear"/>
      <w:vertAlign w:val="baseline"/>
      <w:em w:val="none"/>
      <w:lang w:val="es-ES" w:eastAsia="en-US" w:bidi="ar-SA"/>
    </w:rPr>
  </w:style>
  <w:style w:type="character" w:styleId="Fuentedeprrafopredeter">
    <w:name w:val="Fuente de párrafo predeter."/>
    <w:qFormat/>
    <w:rPr/>
  </w:style>
  <w:style w:type="character" w:styleId="WWCharLFO1LVL2">
    <w:name w:val="WW_CharLFO1LVL2"/>
    <w:qFormat/>
    <w:rPr>
      <w:rFonts w:ascii="Courier New" w:hAnsi="Courier New" w:cs="Courier New"/>
    </w:rPr>
  </w:style>
  <w:style w:type="character" w:styleId="WWCharLFO1LVL3">
    <w:name w:val="WW_CharLFO1LVL3"/>
    <w:qFormat/>
    <w:rPr>
      <w:rFonts w:ascii="Wingdings" w:hAnsi="Wingdings"/>
    </w:rPr>
  </w:style>
  <w:style w:type="character" w:styleId="WWCharLFO1LVL4">
    <w:name w:val="WW_CharLFO1LVL4"/>
    <w:qFormat/>
    <w:rPr>
      <w:rFonts w:ascii="Symbol" w:hAnsi="Symbol"/>
    </w:rPr>
  </w:style>
  <w:style w:type="character" w:styleId="WWCharLFO1LVL5">
    <w:name w:val="WW_CharLFO1LVL5"/>
    <w:qFormat/>
    <w:rPr>
      <w:rFonts w:ascii="Courier New" w:hAnsi="Courier New" w:cs="Courier New"/>
    </w:rPr>
  </w:style>
  <w:style w:type="character" w:styleId="WWCharLFO1LVL6">
    <w:name w:val="WW_CharLFO1LVL6"/>
    <w:qFormat/>
    <w:rPr>
      <w:rFonts w:ascii="Wingdings" w:hAnsi="Wingdings"/>
    </w:rPr>
  </w:style>
  <w:style w:type="character" w:styleId="WWCharLFO1LVL7">
    <w:name w:val="WW_CharLFO1LVL7"/>
    <w:qFormat/>
    <w:rPr>
      <w:rFonts w:ascii="Symbol" w:hAnsi="Symbol"/>
    </w:rPr>
  </w:style>
  <w:style w:type="character" w:styleId="WWCharLFO1LVL8">
    <w:name w:val="WW_CharLFO1LVL8"/>
    <w:qFormat/>
    <w:rPr>
      <w:rFonts w:ascii="Courier New" w:hAnsi="Courier New" w:cs="Courier New"/>
    </w:rPr>
  </w:style>
  <w:style w:type="character" w:styleId="WWCharLFO1LVL9">
    <w:name w:val="WW_CharLFO1LVL9"/>
    <w:qFormat/>
    <w:rPr>
      <w:rFonts w:ascii="Wingdings" w:hAnsi="Wingdings"/>
    </w:rPr>
  </w:style>
  <w:style w:type="character" w:styleId="WWCharLFO2LVL1">
    <w:name w:val="WW_CharLFO2LVL1"/>
    <w:qFormat/>
    <w:rPr>
      <w:rFonts w:ascii="Symbol" w:hAnsi="Symbol"/>
    </w:rPr>
  </w:style>
  <w:style w:type="character" w:styleId="WWCharLFO2LVL2">
    <w:name w:val="WW_CharLFO2LVL2"/>
    <w:qFormat/>
    <w:rPr>
      <w:rFonts w:ascii="Courier New" w:hAnsi="Courier New" w:cs="Courier New"/>
    </w:rPr>
  </w:style>
  <w:style w:type="character" w:styleId="WWCharLFO2LVL3">
    <w:name w:val="WW_CharLFO2LVL3"/>
    <w:qFormat/>
    <w:rPr>
      <w:rFonts w:ascii="Wingdings" w:hAnsi="Wingdings"/>
    </w:rPr>
  </w:style>
  <w:style w:type="character" w:styleId="WWCharLFO2LVL4">
    <w:name w:val="WW_CharLFO2LVL4"/>
    <w:qFormat/>
    <w:rPr>
      <w:rFonts w:ascii="Symbol" w:hAnsi="Symbol"/>
    </w:rPr>
  </w:style>
  <w:style w:type="character" w:styleId="WWCharLFO2LVL5">
    <w:name w:val="WW_CharLFO2LVL5"/>
    <w:qFormat/>
    <w:rPr>
      <w:rFonts w:ascii="Courier New" w:hAnsi="Courier New" w:cs="Courier New"/>
    </w:rPr>
  </w:style>
  <w:style w:type="character" w:styleId="WWCharLFO2LVL6">
    <w:name w:val="WW_CharLFO2LVL6"/>
    <w:qFormat/>
    <w:rPr>
      <w:rFonts w:ascii="Wingdings" w:hAnsi="Wingdings"/>
    </w:rPr>
  </w:style>
  <w:style w:type="character" w:styleId="WWCharLFO2LVL7">
    <w:name w:val="WW_CharLFO2LVL7"/>
    <w:qFormat/>
    <w:rPr>
      <w:rFonts w:ascii="Symbol" w:hAnsi="Symbol"/>
    </w:rPr>
  </w:style>
  <w:style w:type="character" w:styleId="WWCharLFO2LVL8">
    <w:name w:val="WW_CharLFO2LVL8"/>
    <w:qFormat/>
    <w:rPr>
      <w:rFonts w:ascii="Courier New" w:hAnsi="Courier New" w:cs="Courier New"/>
    </w:rPr>
  </w:style>
  <w:style w:type="character" w:styleId="WWCharLFO2LVL9">
    <w:name w:val="WW_CharLFO2LVL9"/>
    <w:qFormat/>
    <w:rPr>
      <w:rFonts w:ascii="Wingdings" w:hAnsi="Wingdings"/>
    </w:rPr>
  </w:style>
  <w:style w:type="character" w:styleId="WWCharLFO4LVL1">
    <w:name w:val="WW_CharLFO4LVL1"/>
    <w:qFormat/>
    <w:rPr>
      <w:rFonts w:ascii="Wingdings" w:hAnsi="Wingdings"/>
    </w:rPr>
  </w:style>
  <w:style w:type="character" w:styleId="WWCharLFO4LVL2">
    <w:name w:val="WW_CharLFO4LVL2"/>
    <w:qFormat/>
    <w:rPr>
      <w:rFonts w:ascii="Courier New" w:hAnsi="Courier New" w:cs="Courier New"/>
    </w:rPr>
  </w:style>
  <w:style w:type="character" w:styleId="WWCharLFO4LVL3">
    <w:name w:val="WW_CharLFO4LVL3"/>
    <w:qFormat/>
    <w:rPr>
      <w:rFonts w:ascii="Wingdings" w:hAnsi="Wingdings"/>
    </w:rPr>
  </w:style>
  <w:style w:type="character" w:styleId="WWCharLFO4LVL4">
    <w:name w:val="WW_CharLFO4LVL4"/>
    <w:qFormat/>
    <w:rPr>
      <w:rFonts w:ascii="Symbol" w:hAnsi="Symbol"/>
    </w:rPr>
  </w:style>
  <w:style w:type="character" w:styleId="WWCharLFO4LVL5">
    <w:name w:val="WW_CharLFO4LVL5"/>
    <w:qFormat/>
    <w:rPr>
      <w:rFonts w:ascii="Courier New" w:hAnsi="Courier New" w:cs="Courier New"/>
    </w:rPr>
  </w:style>
  <w:style w:type="character" w:styleId="WWCharLFO4LVL6">
    <w:name w:val="WW_CharLFO4LVL6"/>
    <w:qFormat/>
    <w:rPr>
      <w:rFonts w:ascii="Wingdings" w:hAnsi="Wingdings"/>
    </w:rPr>
  </w:style>
  <w:style w:type="character" w:styleId="WWCharLFO4LVL7">
    <w:name w:val="WW_CharLFO4LVL7"/>
    <w:qFormat/>
    <w:rPr>
      <w:rFonts w:ascii="Symbol" w:hAnsi="Symbol"/>
    </w:rPr>
  </w:style>
  <w:style w:type="character" w:styleId="WWCharLFO4LVL8">
    <w:name w:val="WW_CharLFO4LVL8"/>
    <w:qFormat/>
    <w:rPr>
      <w:rFonts w:ascii="Courier New" w:hAnsi="Courier New" w:cs="Courier New"/>
    </w:rPr>
  </w:style>
  <w:style w:type="character" w:styleId="WWCharLFO4LVL9">
    <w:name w:val="WW_CharLFO4LVL9"/>
    <w:qFormat/>
    <w:rPr>
      <w:rFonts w:ascii="Wingdings" w:hAnsi="Wingdings"/>
    </w:rPr>
  </w:style>
  <w:style w:type="character" w:styleId="WWCharLFO5LVL1">
    <w:name w:val="WW_CharLFO5LVL1"/>
    <w:qFormat/>
    <w:rPr>
      <w:rFonts w:ascii="Calibri Light" w:hAnsi="Calibri Light" w:eastAsia="Calibri" w:cs="Calibri Light"/>
    </w:rPr>
  </w:style>
  <w:style w:type="character" w:styleId="WWCharLFO5LVL2">
    <w:name w:val="WW_CharLFO5LVL2"/>
    <w:qFormat/>
    <w:rPr>
      <w:rFonts w:ascii="Courier New" w:hAnsi="Courier New" w:cs="Courier New"/>
    </w:rPr>
  </w:style>
  <w:style w:type="character" w:styleId="WWCharLFO5LVL3">
    <w:name w:val="WW_CharLFO5LVL3"/>
    <w:qFormat/>
    <w:rPr>
      <w:rFonts w:ascii="Wingdings" w:hAnsi="Wingdings"/>
    </w:rPr>
  </w:style>
  <w:style w:type="character" w:styleId="WWCharLFO5LVL4">
    <w:name w:val="WW_CharLFO5LVL4"/>
    <w:qFormat/>
    <w:rPr>
      <w:rFonts w:ascii="Symbol" w:hAnsi="Symbol"/>
    </w:rPr>
  </w:style>
  <w:style w:type="character" w:styleId="WWCharLFO5LVL5">
    <w:name w:val="WW_CharLFO5LVL5"/>
    <w:qFormat/>
    <w:rPr>
      <w:rFonts w:ascii="Courier New" w:hAnsi="Courier New" w:cs="Courier New"/>
    </w:rPr>
  </w:style>
  <w:style w:type="character" w:styleId="WWCharLFO5LVL6">
    <w:name w:val="WW_CharLFO5LVL6"/>
    <w:qFormat/>
    <w:rPr>
      <w:rFonts w:ascii="Wingdings" w:hAnsi="Wingdings"/>
    </w:rPr>
  </w:style>
  <w:style w:type="character" w:styleId="WWCharLFO5LVL7">
    <w:name w:val="WW_CharLFO5LVL7"/>
    <w:qFormat/>
    <w:rPr>
      <w:rFonts w:ascii="Symbol" w:hAnsi="Symbol"/>
    </w:rPr>
  </w:style>
  <w:style w:type="character" w:styleId="WWCharLFO5LVL8">
    <w:name w:val="WW_CharLFO5LVL8"/>
    <w:qFormat/>
    <w:rPr>
      <w:rFonts w:ascii="Courier New" w:hAnsi="Courier New" w:cs="Courier New"/>
    </w:rPr>
  </w:style>
  <w:style w:type="character" w:styleId="WWCharLFO5LVL9">
    <w:name w:val="WW_CharLFO5LVL9"/>
    <w:qFormat/>
    <w:rPr>
      <w:rFonts w:ascii="Wingdings" w:hAnsi="Wingdings"/>
    </w:rPr>
  </w:style>
  <w:style w:type="character" w:styleId="WWCharLFO6LVL1">
    <w:name w:val="WW_CharLFO6LVL1"/>
    <w:qFormat/>
    <w:rPr>
      <w:rFonts w:ascii="Symbol" w:hAnsi="Symbol"/>
    </w:rPr>
  </w:style>
  <w:style w:type="character" w:styleId="WWCharLFO6LVL2">
    <w:name w:val="WW_CharLFO6LVL2"/>
    <w:qFormat/>
    <w:rPr>
      <w:rFonts w:ascii="Courier New" w:hAnsi="Courier New" w:cs="Courier New"/>
    </w:rPr>
  </w:style>
  <w:style w:type="character" w:styleId="WWCharLFO6LVL3">
    <w:name w:val="WW_CharLFO6LVL3"/>
    <w:qFormat/>
    <w:rPr>
      <w:rFonts w:ascii="Wingdings" w:hAnsi="Wingdings"/>
    </w:rPr>
  </w:style>
  <w:style w:type="character" w:styleId="WWCharLFO6LVL4">
    <w:name w:val="WW_CharLFO6LVL4"/>
    <w:qFormat/>
    <w:rPr>
      <w:rFonts w:ascii="Symbol" w:hAnsi="Symbol"/>
    </w:rPr>
  </w:style>
  <w:style w:type="character" w:styleId="WWCharLFO6LVL5">
    <w:name w:val="WW_CharLFO6LVL5"/>
    <w:qFormat/>
    <w:rPr>
      <w:rFonts w:ascii="Courier New" w:hAnsi="Courier New" w:cs="Courier New"/>
    </w:rPr>
  </w:style>
  <w:style w:type="character" w:styleId="WWCharLFO6LVL6">
    <w:name w:val="WW_CharLFO6LVL6"/>
    <w:qFormat/>
    <w:rPr>
      <w:rFonts w:ascii="Wingdings" w:hAnsi="Wingdings"/>
    </w:rPr>
  </w:style>
  <w:style w:type="character" w:styleId="WWCharLFO6LVL7">
    <w:name w:val="WW_CharLFO6LVL7"/>
    <w:qFormat/>
    <w:rPr>
      <w:rFonts w:ascii="Symbol" w:hAnsi="Symbol"/>
    </w:rPr>
  </w:style>
  <w:style w:type="character" w:styleId="WWCharLFO6LVL8">
    <w:name w:val="WW_CharLFO6LVL8"/>
    <w:qFormat/>
    <w:rPr>
      <w:rFonts w:ascii="Courier New" w:hAnsi="Courier New" w:cs="Courier New"/>
    </w:rPr>
  </w:style>
  <w:style w:type="character" w:styleId="WWCharLFO6LVL9">
    <w:name w:val="WW_CharLFO6LVL9"/>
    <w:qFormat/>
    <w:rPr>
      <w:rFonts w:ascii="Wingdings" w:hAnsi="Wingdings"/>
    </w:rPr>
  </w:style>
  <w:style w:type="character" w:styleId="WWCharLFO7LVL1">
    <w:name w:val="WW_CharLFO7LVL1"/>
    <w:qFormat/>
    <w:rPr>
      <w:rFonts w:ascii="Symbol" w:hAnsi="Symbol"/>
    </w:rPr>
  </w:style>
  <w:style w:type="character" w:styleId="WWCharLFO7LVL2">
    <w:name w:val="WW_CharLFO7LVL2"/>
    <w:qFormat/>
    <w:rPr>
      <w:rFonts w:ascii="Courier New" w:hAnsi="Courier New" w:cs="Courier New"/>
    </w:rPr>
  </w:style>
  <w:style w:type="character" w:styleId="WWCharLFO7LVL3">
    <w:name w:val="WW_CharLFO7LVL3"/>
    <w:qFormat/>
    <w:rPr>
      <w:rFonts w:ascii="Wingdings" w:hAnsi="Wingdings"/>
    </w:rPr>
  </w:style>
  <w:style w:type="character" w:styleId="WWCharLFO7LVL4">
    <w:name w:val="WW_CharLFO7LVL4"/>
    <w:qFormat/>
    <w:rPr>
      <w:rFonts w:ascii="Symbol" w:hAnsi="Symbol"/>
    </w:rPr>
  </w:style>
  <w:style w:type="character" w:styleId="WWCharLFO7LVL5">
    <w:name w:val="WW_CharLFO7LVL5"/>
    <w:qFormat/>
    <w:rPr>
      <w:rFonts w:ascii="Courier New" w:hAnsi="Courier New" w:cs="Courier New"/>
    </w:rPr>
  </w:style>
  <w:style w:type="character" w:styleId="WWCharLFO7LVL6">
    <w:name w:val="WW_CharLFO7LVL6"/>
    <w:qFormat/>
    <w:rPr>
      <w:rFonts w:ascii="Wingdings" w:hAnsi="Wingdings"/>
    </w:rPr>
  </w:style>
  <w:style w:type="character" w:styleId="WWCharLFO7LVL7">
    <w:name w:val="WW_CharLFO7LVL7"/>
    <w:qFormat/>
    <w:rPr>
      <w:rFonts w:ascii="Symbol" w:hAnsi="Symbol"/>
    </w:rPr>
  </w:style>
  <w:style w:type="character" w:styleId="WWCharLFO7LVL8">
    <w:name w:val="WW_CharLFO7LVL8"/>
    <w:qFormat/>
    <w:rPr>
      <w:rFonts w:ascii="Courier New" w:hAnsi="Courier New" w:cs="Courier New"/>
    </w:rPr>
  </w:style>
  <w:style w:type="character" w:styleId="WWCharLFO7LVL9">
    <w:name w:val="WW_CharLFO7LVL9"/>
    <w:qFormat/>
    <w:rPr>
      <w:rFonts w:ascii="Wingdings" w:hAnsi="Wingdings"/>
    </w:rPr>
  </w:style>
  <w:style w:type="character" w:styleId="WWCharLFO8LVL1">
    <w:name w:val="WW_CharLFO8LVL1"/>
    <w:qFormat/>
    <w:rPr>
      <w:rFonts w:ascii="Symbol" w:hAnsi="Symbol"/>
      <w:sz w:val="20"/>
    </w:rPr>
  </w:style>
  <w:style w:type="character" w:styleId="WWCharLFO8LVL2">
    <w:name w:val="WW_CharLFO8LVL2"/>
    <w:qFormat/>
    <w:rPr>
      <w:rFonts w:ascii="Courier New" w:hAnsi="Courier New"/>
      <w:sz w:val="20"/>
    </w:rPr>
  </w:style>
  <w:style w:type="character" w:styleId="WWCharLFO8LVL3">
    <w:name w:val="WW_CharLFO8LVL3"/>
    <w:qFormat/>
    <w:rPr>
      <w:rFonts w:ascii="Wingdings" w:hAnsi="Wingdings"/>
      <w:sz w:val="20"/>
    </w:rPr>
  </w:style>
  <w:style w:type="character" w:styleId="WWCharLFO8LVL4">
    <w:name w:val="WW_CharLFO8LVL4"/>
    <w:qFormat/>
    <w:rPr>
      <w:rFonts w:ascii="Wingdings" w:hAnsi="Wingdings"/>
      <w:sz w:val="20"/>
    </w:rPr>
  </w:style>
  <w:style w:type="character" w:styleId="WWCharLFO8LVL5">
    <w:name w:val="WW_CharLFO8LVL5"/>
    <w:qFormat/>
    <w:rPr>
      <w:rFonts w:ascii="Wingdings" w:hAnsi="Wingdings"/>
      <w:sz w:val="20"/>
    </w:rPr>
  </w:style>
  <w:style w:type="character" w:styleId="WWCharLFO8LVL6">
    <w:name w:val="WW_CharLFO8LVL6"/>
    <w:qFormat/>
    <w:rPr>
      <w:rFonts w:ascii="Wingdings" w:hAnsi="Wingdings"/>
      <w:sz w:val="20"/>
    </w:rPr>
  </w:style>
  <w:style w:type="character" w:styleId="WWCharLFO8LVL7">
    <w:name w:val="WW_CharLFO8LVL7"/>
    <w:qFormat/>
    <w:rPr>
      <w:rFonts w:ascii="Wingdings" w:hAnsi="Wingdings"/>
      <w:sz w:val="20"/>
    </w:rPr>
  </w:style>
  <w:style w:type="character" w:styleId="WWCharLFO8LVL8">
    <w:name w:val="WW_CharLFO8LVL8"/>
    <w:qFormat/>
    <w:rPr>
      <w:rFonts w:ascii="Wingdings" w:hAnsi="Wingdings"/>
      <w:sz w:val="20"/>
    </w:rPr>
  </w:style>
  <w:style w:type="character" w:styleId="WWCharLFO8LVL9">
    <w:name w:val="WW_CharLFO8LVL9"/>
    <w:qFormat/>
    <w:rPr>
      <w:rFonts w:ascii="Wingdings" w:hAnsi="Wingdings"/>
      <w:sz w:val="20"/>
    </w:rPr>
  </w:style>
  <w:style w:type="paragraph" w:styleId="Normal1">
    <w:name w:val="Normal1"/>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0" w:before="0" w:after="160"/>
      <w:jc w:val="left"/>
      <w:textAlignment w:val="baseline"/>
    </w:pPr>
    <w:rPr>
      <w:rFonts w:ascii="Calibri" w:hAnsi="Calibri" w:eastAsia="Calibri"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2"/>
      <w:sz w:val="22"/>
      <w:szCs w:val="22"/>
      <w:u w:val="none"/>
      <w:shd w:fill="auto" w:val="clear"/>
      <w:vertAlign w:val="baseline"/>
      <w:em w:val="none"/>
      <w:lang w:val="es-ES" w:eastAsia="en-US" w:bidi="ar-SA"/>
    </w:rPr>
  </w:style>
  <w:style w:type="paragraph" w:styleId="Prrafodelista">
    <w:name w:val="Párrafo de lista"/>
    <w:basedOn w:val="Normal1"/>
    <w:qFormat/>
    <w:pPr>
      <w:tabs>
        <w:tab w:val="clear" w:pos="708"/>
      </w:tabs>
      <w:suppressAutoHyphens w:val="true"/>
      <w:ind w:left="720"/>
    </w:pPr>
    <w:rPr/>
  </w:style>
  <w:style w:type="paragraph" w:styleId="NormalWeb">
    <w:name w:val="Normal (Web)"/>
    <w:basedOn w:val="Normal1"/>
    <w:qFormat/>
    <w:pPr>
      <w:suppressAutoHyphens w:val="false"/>
      <w:spacing w:lineRule="auto" w:line="240" w:before="100" w:after="100"/>
      <w:textAlignment w:val="auto"/>
    </w:pPr>
    <w:rPr>
      <w:rFonts w:ascii="Times New Roman" w:hAnsi="Times New Roman" w:eastAsia="Times New Roman"/>
      <w:kern w:val="0"/>
      <w:sz w:val="24"/>
      <w:szCs w:val="24"/>
      <w:lang w:eastAsia="es-ES"/>
    </w:rPr>
  </w:style>
  <w:style w:type="paragraph" w:styleId="TableContents">
    <w:name w:val="Table Contents"/>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Pages>12</Pages>
  <Words>3685</Words>
  <Characters>20270</Characters>
  <CharactersWithSpaces>23908</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2024-10-16T18:11:00Z</dcterms:created>
  <dc:creator>Yenny Vargas</dc:creator>
  <dc:description/>
  <dc:language>en-US</dc:language>
  <cp:lastModifiedBy>PROPIEDAD DE</cp:lastModifiedBy>
  <dcterms:modified xsi:type="dcterms:W3CDTF">2024-10-16T18:11:00Z</dcterms:modified>
  <cp:revision>2</cp:revision>
  <dc:subject/>
  <dc:title/>
</cp:coreProperties>
</file>